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EE90A" w14:textId="3B95A90F" w:rsidR="00532AB8" w:rsidRPr="00C40E52" w:rsidRDefault="001D2FE4" w:rsidP="00B33093">
      <w:pPr>
        <w:spacing w:line="276" w:lineRule="auto"/>
        <w:jc w:val="center"/>
        <w:rPr>
          <w:rFonts w:eastAsia="Calibri"/>
          <w:sz w:val="22"/>
          <w:szCs w:val="22"/>
        </w:rPr>
      </w:pPr>
      <w:r w:rsidRPr="00C40E52">
        <w:rPr>
          <w:rFonts w:eastAsia="Calibri"/>
          <w:noProof/>
          <w:sz w:val="22"/>
          <w:szCs w:val="22"/>
        </w:rPr>
        <mc:AlternateContent>
          <mc:Choice Requires="wpg">
            <w:drawing>
              <wp:anchor distT="0" distB="0" distL="114300" distR="114300" simplePos="0" relativeHeight="251659264" behindDoc="1" locked="0" layoutInCell="1" allowOverlap="1" wp14:anchorId="2BFC4D7A" wp14:editId="5A91E20C">
                <wp:simplePos x="0" y="0"/>
                <wp:positionH relativeFrom="page">
                  <wp:align>left</wp:align>
                </wp:positionH>
                <wp:positionV relativeFrom="page">
                  <wp:posOffset>-68580</wp:posOffset>
                </wp:positionV>
                <wp:extent cx="7572375" cy="7010400"/>
                <wp:effectExtent l="0" t="0" r="9525" b="0"/>
                <wp:wrapNone/>
                <wp:docPr id="125" name="Group 28"/>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7572375" cy="7010400"/>
                          <a:chOff x="0" y="0"/>
                          <a:chExt cx="6140635" cy="5360301"/>
                        </a:xfrm>
                      </wpg:grpSpPr>
                      <wps:wsp>
                        <wps:cNvPr id="126" name="Freeform 10"/>
                        <wps:cNvSpPr>
                          <a:spLocks/>
                        </wps:cNvSpPr>
                        <wps:spPr bwMode="auto">
                          <a:xfrm>
                            <a:off x="0" y="0"/>
                            <a:ext cx="6140635" cy="5360301"/>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rgbClr val="70AD47">
                              <a:lumMod val="75000"/>
                            </a:srgbClr>
                          </a:solidFill>
                          <a:ln>
                            <a:noFill/>
                          </a:ln>
                          <a:effectLst/>
                        </wps:spPr>
                        <wps:txbx>
                          <w:txbxContent>
                            <w:p w14:paraId="33548245" w14:textId="77777777" w:rsidR="00532AB8" w:rsidRPr="001D717A" w:rsidRDefault="00000000" w:rsidP="00532AB8">
                              <w:pPr>
                                <w:rPr>
                                  <w:color w:val="FFFFFF"/>
                                  <w:sz w:val="72"/>
                                  <w:szCs w:val="72"/>
                                </w:rPr>
                              </w:pPr>
                              <w:sdt>
                                <w:sdtPr>
                                  <w:rPr>
                                    <w:color w:val="FFFFFF"/>
                                    <w:sz w:val="72"/>
                                    <w:szCs w:val="72"/>
                                  </w:rPr>
                                  <w:alias w:val="Title"/>
                                  <w:tag w:val=""/>
                                  <w:id w:val="-554696155"/>
                                  <w:showingPlcHdr/>
                                  <w:dataBinding w:prefixMappings="xmlns:ns0='http://purl.org/dc/elements/1.1/' xmlns:ns1='http://schemas.openxmlformats.org/package/2006/metadata/core-properties' " w:xpath="/ns1:coreProperties[1]/ns0:title[1]" w:storeItemID="{6C3C8BC8-F283-45AE-878A-BAB7291924A1}"/>
                                  <w:text/>
                                </w:sdtPr>
                                <w:sdtContent>
                                  <w:r w:rsidR="00532AB8" w:rsidRPr="001D717A">
                                    <w:rPr>
                                      <w:color w:val="FFFFFF"/>
                                      <w:sz w:val="72"/>
                                      <w:szCs w:val="72"/>
                                    </w:rPr>
                                    <w:t xml:space="preserve">     </w:t>
                                  </w:r>
                                </w:sdtContent>
                              </w:sdt>
                            </w:p>
                          </w:txbxContent>
                        </wps:txbx>
                        <wps:bodyPr rot="0" vert="horz" wrap="square" lIns="914400" tIns="1097280" rIns="1097280" bIns="1097280" anchor="b" anchorCtr="0" upright="1">
                          <a:noAutofit/>
                        </wps:bodyPr>
                      </wps:wsp>
                      <wps:wsp>
                        <wps:cNvPr id="127" name="Freeform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ysClr val="window" lastClr="FFFFFF">
                              <a:alpha val="30000"/>
                            </a:sys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2BFC4D7A" id="Group 28" o:spid="_x0000_s1026" style="position:absolute;left:0;text-align:left;margin-left:0;margin-top:-5.4pt;width:596.25pt;height:552pt;z-index:-251657216;mso-position-horizontal:left;mso-position-horizontal-relative:page;mso-position-vertical-relative:page;mso-width-relative:margin" coordsize="61406,536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">
                <o:lock v:ext="edit" aspectratio="t"/>
                <v:shape id="Freeform 10" o:spid="_x0000_s1027" style="position:absolute;width:61406;height:53603;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" adj="-11796480,,5400" path="m,c,644,,644,,644v23,6,62,14,113,21c250,685,476,700,720,644v,-27,,-27,,-27c720,,720,,720,,,,,,,e" fillcolor="#548235" stroked="f">
                  <v:stroke joinstyle="miter"/>
                  <v:formulas/>
                  <v:path arrowok="t" o:connecttype="custom" o:connectlocs="0,0;0,4931477;963739,5092286;6140635,4931477;6140635,4724722;6140635,0;0,0" o:connectangles="0,0,0,0,0,0,0" textboxrect="0,0,720,700"/>
                  <v:textbox inset="1in,86.4pt,86.4pt,86.4pt">
                    <w:txbxContent>
                      <w:p w14:paraId="33548245" w14:textId="77777777" w:rsidR="00532AB8" w:rsidRPr="001D717A" w:rsidRDefault="00000000" w:rsidP="00532AB8">
                        <w:pPr>
                          <w:rPr>
                            <w:color w:val="FFFFFF"/>
                            <w:sz w:val="72"/>
                            <w:szCs w:val="72"/>
                          </w:rPr>
                        </w:pPr>
                        <w:sdt>
                          <w:sdtPr>
                            <w:rPr>
                              <w:color w:val="FFFFFF"/>
                              <w:sz w:val="72"/>
                              <w:szCs w:val="72"/>
                            </w:rPr>
                            <w:alias w:val="Title"/>
                            <w:tag w:val=""/>
                            <w:id w:val="-554696155"/>
                            <w:showingPlcHdr/>
                            <w:dataBinding w:prefixMappings="xmlns:ns0='http://purl.org/dc/elements/1.1/' xmlns:ns1='http://schemas.openxmlformats.org/package/2006/metadata/core-properties' " w:xpath="/ns1:coreProperties[1]/ns0:title[1]" w:storeItemID="{6C3C8BC8-F283-45AE-878A-BAB7291924A1}"/>
                            <w:text/>
                          </w:sdtPr>
                          <w:sdtContent>
                            <w:r w:rsidR="00532AB8" w:rsidRPr="001D717A">
                              <w:rPr>
                                <w:color w:val="FFFFFF"/>
                                <w:sz w:val="72"/>
                                <w:szCs w:val="72"/>
                              </w:rPr>
                              <w:t xml:space="preserve">     </w:t>
                            </w:r>
                          </w:sdtContent>
                        </w:sdt>
                      </w:p>
                    </w:txbxContent>
                  </v:textbox>
                </v:shape>
                <v:shape id="Freeform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" path="m607,c450,44,300,57,176,57,109,57,49,53,,48,66,58,152,66,251,66,358,66,480,56,607,27,607,,607,,607,e" fillcolor="window" stroked="f">
                  <v:fill opacity="19789f"/>
                  <v:path arrowok="t" o:connecttype="custom" o:connectlocs="4685030,0;1358427,440373;0,370840;1937302,509905;4685030,208598;4685030,0" o:connectangles="0,0,0,0,0,0"/>
                </v:shape>
                <w10:wrap anchorx="page" anchory="page"/>
              </v:group>
            </w:pict>
          </mc:Fallback>
        </mc:AlternateContent>
      </w:r>
      <w:r w:rsidR="00F3765C" w:rsidRPr="00C40E52">
        <w:rPr>
          <w:rFonts w:eastAsia="Calibri"/>
          <w:b/>
          <w:bCs/>
          <w:color w:val="FFFFFF" w:themeColor="background1"/>
          <w:sz w:val="56"/>
          <w:szCs w:val="56"/>
        </w:rPr>
        <w:t>Guyana EITI Annual Progress Review 202</w:t>
      </w:r>
      <w:r w:rsidR="006C7AB1" w:rsidRPr="00C40E52">
        <w:rPr>
          <w:rFonts w:eastAsia="Calibri"/>
          <w:b/>
          <w:bCs/>
          <w:color w:val="FFFFFF" w:themeColor="background1"/>
          <w:sz w:val="56"/>
          <w:szCs w:val="56"/>
        </w:rPr>
        <w:t>5</w:t>
      </w:r>
      <w:r w:rsidR="00F3765C" w:rsidRPr="00C40E52">
        <w:rPr>
          <w:rFonts w:eastAsia="Calibri"/>
          <w:b/>
          <w:bCs/>
          <w:color w:val="FFFFFF" w:themeColor="background1"/>
          <w:sz w:val="56"/>
          <w:szCs w:val="56"/>
        </w:rPr>
        <w:t xml:space="preserve"> </w:t>
      </w:r>
    </w:p>
    <w:sdt>
      <w:sdtPr>
        <w:rPr>
          <w:rFonts w:eastAsia="Calibri"/>
          <w:sz w:val="22"/>
          <w:szCs w:val="22"/>
        </w:rPr>
        <w:id w:val="798267110"/>
        <w:docPartObj>
          <w:docPartGallery w:val="Cover Pages"/>
          <w:docPartUnique/>
        </w:docPartObj>
      </w:sdtPr>
      <w:sdtEndPr>
        <w:rPr>
          <w:color w:val="373A3C"/>
          <w:shd w:val="clear" w:color="auto" w:fill="FFFFFF"/>
        </w:rPr>
      </w:sdtEndPr>
      <w:sdtContent>
        <w:p w14:paraId="755EDF99" w14:textId="77777777" w:rsidR="00532AB8" w:rsidRPr="00C40E52" w:rsidRDefault="00532AB8" w:rsidP="00B33093">
          <w:pPr>
            <w:spacing w:line="276" w:lineRule="auto"/>
            <w:rPr>
              <w:rFonts w:eastAsia="Calibri"/>
              <w:sz w:val="22"/>
              <w:szCs w:val="22"/>
            </w:rPr>
          </w:pPr>
        </w:p>
        <w:p w14:paraId="2D0ED164" w14:textId="184E8425" w:rsidR="00D24C68" w:rsidRPr="007D2B17" w:rsidRDefault="00532AB8" w:rsidP="007D2B17">
          <w:pPr>
            <w:spacing w:line="276" w:lineRule="auto"/>
            <w:rPr>
              <w:rFonts w:eastAsia="Calibri"/>
              <w:color w:val="373A3C"/>
              <w:sz w:val="22"/>
              <w:szCs w:val="22"/>
              <w:shd w:val="clear" w:color="auto" w:fill="FFFFFF"/>
            </w:rPr>
            <w:sectPr w:rsidR="00D24C68" w:rsidRPr="007D2B17" w:rsidSect="001D210A">
              <w:footerReference w:type="default" r:id="rId8"/>
              <w:footerReference w:type="first" r:id="rId9"/>
              <w:pgSz w:w="12240" w:h="15840" w:code="1"/>
              <w:pgMar w:top="1440" w:right="1440" w:bottom="1440" w:left="1440" w:header="720" w:footer="0" w:gutter="0"/>
              <w:pgNumType w:start="0"/>
              <w:cols w:space="720"/>
              <w:titlePg/>
              <w:docGrid w:linePitch="360"/>
            </w:sectPr>
          </w:pPr>
          <w:r w:rsidRPr="00C40E52">
            <w:rPr>
              <w:rFonts w:eastAsia="Calibri"/>
              <w:noProof/>
              <w:sz w:val="22"/>
              <w:szCs w:val="22"/>
            </w:rPr>
            <mc:AlternateContent>
              <mc:Choice Requires="wps">
                <w:drawing>
                  <wp:anchor distT="0" distB="0" distL="114300" distR="114300" simplePos="0" relativeHeight="251660288" behindDoc="0" locked="0" layoutInCell="1" allowOverlap="1" wp14:anchorId="4417D5EE" wp14:editId="750BA37C">
                    <wp:simplePos x="0" y="0"/>
                    <wp:positionH relativeFrom="page">
                      <wp:posOffset>227965</wp:posOffset>
                    </wp:positionH>
                    <wp:positionV relativeFrom="margin">
                      <wp:posOffset>8201025</wp:posOffset>
                    </wp:positionV>
                    <wp:extent cx="7343775" cy="276225"/>
                    <wp:effectExtent l="0" t="0" r="0" b="9525"/>
                    <wp:wrapSquare wrapText="bothSides"/>
                    <wp:docPr id="128" name="Text Box 29"/>
                    <wp:cNvGraphicFramePr/>
                    <a:graphic xmlns:a="http://schemas.openxmlformats.org/drawingml/2006/main">
                      <a:graphicData uri="http://schemas.microsoft.com/office/word/2010/wordprocessingShape">
                        <wps:wsp>
                          <wps:cNvSpPr txBox="1"/>
                          <wps:spPr>
                            <a:xfrm>
                              <a:off x="0" y="0"/>
                              <a:ext cx="7343775" cy="276225"/>
                            </a:xfrm>
                            <a:prstGeom prst="rect">
                              <a:avLst/>
                            </a:prstGeom>
                            <a:noFill/>
                            <a:ln w="6350">
                              <a:noFill/>
                            </a:ln>
                            <a:effectLst/>
                          </wps:spPr>
                          <wps:txbx>
                            <w:txbxContent>
                              <w:p w14:paraId="019D1915" w14:textId="3B0FA60A" w:rsidR="00532AB8" w:rsidRPr="001D717A" w:rsidRDefault="00000000" w:rsidP="00532AB8">
                                <w:pPr>
                                  <w:pStyle w:val="NoSpacing"/>
                                  <w:rPr>
                                    <w:b/>
                                    <w:bCs/>
                                    <w:color w:val="7F7F7F"/>
                                    <w:sz w:val="20"/>
                                    <w:szCs w:val="20"/>
                                  </w:rPr>
                                </w:pPr>
                                <w:sdt>
                                  <w:sdtPr>
                                    <w:rPr>
                                      <w:b/>
                                      <w:bCs/>
                                      <w:caps/>
                                      <w:color w:val="7F7F7F"/>
                                      <w:sz w:val="20"/>
                                      <w:szCs w:val="20"/>
                                    </w:rPr>
                                    <w:alias w:val="Company"/>
                                    <w:tag w:val=""/>
                                    <w:id w:val="-1880927279"/>
                                    <w:showingPlcHdr/>
                                    <w:dataBinding w:prefixMappings="xmlns:ns0='http://schemas.openxmlformats.org/officeDocument/2006/extended-properties' " w:xpath="/ns0:Properties[1]/ns0:Company[1]" w:storeItemID="{6668398D-A668-4E3E-A5EB-62B293D839F1}"/>
                                    <w:text/>
                                  </w:sdtPr>
                                  <w:sdtContent>
                                    <w:r w:rsidR="00532AB8" w:rsidRPr="001D717A">
                                      <w:rPr>
                                        <w:b/>
                                        <w:bCs/>
                                        <w:caps/>
                                        <w:color w:val="7F7F7F"/>
                                        <w:sz w:val="20"/>
                                        <w:szCs w:val="20"/>
                                      </w:rPr>
                                      <w:t xml:space="preserve">     </w:t>
                                    </w:r>
                                  </w:sdtContent>
                                </w:sdt>
                                <w:r w:rsidR="00532AB8" w:rsidRPr="001D717A">
                                  <w:rPr>
                                    <w:b/>
                                    <w:bCs/>
                                    <w:caps/>
                                    <w:color w:val="7F7F7F"/>
                                    <w:sz w:val="20"/>
                                    <w:szCs w:val="20"/>
                                  </w:rPr>
                                  <w:t> </w:t>
                                </w:r>
                              </w:p>
                            </w:txbxContent>
                          </wps:txbx>
                          <wps:bodyPr rot="0" spcFirstLastPara="0" vertOverflow="overflow" horzOverflow="overflow" vert="horz" wrap="square" lIns="914400" tIns="0" rIns="1097280" bIns="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17D5EE" id="_x0000_t202" coordsize="21600,21600" o:spt="202" path="m,l,21600r21600,l21600,xe">
                    <v:stroke joinstyle="miter"/>
                    <v:path gradientshapeok="t" o:connecttype="rect"/>
                  </v:shapetype>
                  <v:shape id="Text Box 29" o:spid="_x0000_s1029" type="#_x0000_t202" style="position:absolute;margin-left:17.95pt;margin-top:645.75pt;width:578.25pt;height:21.7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margin;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" filled="f" stroked="f" strokeweight=".5pt">
                    <v:textbox inset="1in,0,86.4pt,0">
                      <w:txbxContent>
                        <w:p w14:paraId="019D1915" w14:textId="3B0FA60A" w:rsidR="00532AB8" w:rsidRPr="001D717A" w:rsidRDefault="00000000" w:rsidP="00532AB8">
                          <w:pPr>
                            <w:pStyle w:val="NoSpacing"/>
                            <w:rPr>
                              <w:b/>
                              <w:bCs/>
                              <w:color w:val="7F7F7F"/>
                              <w:sz w:val="20"/>
                              <w:szCs w:val="20"/>
                            </w:rPr>
                          </w:pPr>
                          <w:sdt>
                            <w:sdtPr>
                              <w:rPr>
                                <w:b/>
                                <w:bCs/>
                                <w:caps/>
                                <w:color w:val="7F7F7F"/>
                                <w:sz w:val="20"/>
                                <w:szCs w:val="20"/>
                              </w:rPr>
                              <w:alias w:val="Company"/>
                              <w:tag w:val=""/>
                              <w:id w:val="-1880927279"/>
                              <w:showingPlcHdr/>
                              <w:dataBinding w:prefixMappings="xmlns:ns0='http://schemas.openxmlformats.org/officeDocument/2006/extended-properties' " w:xpath="/ns0:Properties[1]/ns0:Company[1]" w:storeItemID="{6668398D-A668-4E3E-A5EB-62B293D839F1}"/>
                              <w:text/>
                            </w:sdtPr>
                            <w:sdtContent>
                              <w:r w:rsidR="00532AB8" w:rsidRPr="001D717A">
                                <w:rPr>
                                  <w:b/>
                                  <w:bCs/>
                                  <w:caps/>
                                  <w:color w:val="7F7F7F"/>
                                  <w:sz w:val="20"/>
                                  <w:szCs w:val="20"/>
                                </w:rPr>
                                <w:t xml:space="preserve">     </w:t>
                              </w:r>
                            </w:sdtContent>
                          </w:sdt>
                          <w:r w:rsidR="00532AB8" w:rsidRPr="001D717A">
                            <w:rPr>
                              <w:b/>
                              <w:bCs/>
                              <w:caps/>
                              <w:color w:val="7F7F7F"/>
                              <w:sz w:val="20"/>
                              <w:szCs w:val="20"/>
                            </w:rPr>
                            <w:t> </w:t>
                          </w:r>
                        </w:p>
                      </w:txbxContent>
                    </v:textbox>
                    <w10:wrap type="square" anchorx="page" anchory="margin"/>
                  </v:shape>
                </w:pict>
              </mc:Fallback>
            </mc:AlternateContent>
          </w:r>
          <w:r w:rsidRPr="00C40E52">
            <w:rPr>
              <w:rFonts w:eastAsia="Calibri"/>
              <w:color w:val="373A3C"/>
              <w:sz w:val="22"/>
              <w:szCs w:val="22"/>
              <w:shd w:val="clear" w:color="auto" w:fill="FFFFFF"/>
            </w:rPr>
            <w:br w:type="page"/>
          </w:r>
        </w:p>
      </w:sdtContent>
    </w:sdt>
    <w:bookmarkStart w:id="0" w:name="_Hlk157473057" w:displacedByCustomXml="prev"/>
    <w:bookmarkStart w:id="1" w:name="_Toc164687917" w:displacedByCustomXml="prev"/>
    <w:sdt>
      <w:sdtPr>
        <w:rPr>
          <w:rFonts w:ascii="Times New Roman" w:eastAsia="Times New Roman" w:hAnsi="Times New Roman" w:cs="Times New Roman"/>
          <w:color w:val="auto"/>
          <w:sz w:val="24"/>
          <w:szCs w:val="24"/>
        </w:rPr>
        <w:id w:val="-663701383"/>
        <w:docPartObj>
          <w:docPartGallery w:val="Table of Contents"/>
          <w:docPartUnique/>
        </w:docPartObj>
      </w:sdtPr>
      <w:sdtEndPr>
        <w:rPr>
          <w:b/>
          <w:bCs/>
          <w:noProof/>
        </w:rPr>
      </w:sdtEndPr>
      <w:sdtContent>
        <w:p w14:paraId="60377DA0" w14:textId="31462CFE" w:rsidR="00AE3B3E" w:rsidRDefault="00AE3B3E">
          <w:pPr>
            <w:pStyle w:val="TOCHeading"/>
          </w:pPr>
          <w:r>
            <w:t>Contents</w:t>
          </w:r>
        </w:p>
        <w:p w14:paraId="31F00728" w14:textId="3414E47C" w:rsidR="00AE3B3E" w:rsidRDefault="00AE3B3E">
          <w:pPr>
            <w:pStyle w:val="TOC1"/>
            <w:tabs>
              <w:tab w:val="right" w:leader="dot" w:pos="9350"/>
            </w:tabs>
            <w:rPr>
              <w:rFonts w:asciiTheme="minorHAnsi" w:eastAsiaTheme="minorEastAsia" w:hAnsiTheme="minorHAnsi" w:cstheme="minorBidi"/>
              <w:noProof/>
              <w:kern w:val="2"/>
              <w:lang/>
              <w14:ligatures w14:val="standardContextual"/>
            </w:rPr>
          </w:pPr>
          <w:r>
            <w:fldChar w:fldCharType="begin"/>
          </w:r>
          <w:r>
            <w:instrText xml:space="preserve"> TOC \o "1-3" \h \z \u </w:instrText>
          </w:r>
          <w:r>
            <w:fldChar w:fldCharType="separate"/>
          </w:r>
          <w:hyperlink w:anchor="_Toc225776183" w:history="1">
            <w:r w:rsidRPr="00A447BA">
              <w:rPr>
                <w:rStyle w:val="Hyperlink"/>
                <w:b/>
                <w:bCs/>
                <w:noProof/>
              </w:rPr>
              <w:t>Acronyms</w:t>
            </w:r>
            <w:r>
              <w:rPr>
                <w:noProof/>
                <w:webHidden/>
              </w:rPr>
              <w:tab/>
            </w:r>
            <w:r>
              <w:rPr>
                <w:noProof/>
                <w:webHidden/>
              </w:rPr>
              <w:fldChar w:fldCharType="begin"/>
            </w:r>
            <w:r>
              <w:rPr>
                <w:noProof/>
                <w:webHidden/>
              </w:rPr>
              <w:instrText xml:space="preserve"> PAGEREF _Toc225776183 \h </w:instrText>
            </w:r>
            <w:r>
              <w:rPr>
                <w:noProof/>
                <w:webHidden/>
              </w:rPr>
            </w:r>
            <w:r>
              <w:rPr>
                <w:noProof/>
                <w:webHidden/>
              </w:rPr>
              <w:fldChar w:fldCharType="separate"/>
            </w:r>
            <w:r>
              <w:rPr>
                <w:noProof/>
                <w:webHidden/>
              </w:rPr>
              <w:t>1</w:t>
            </w:r>
            <w:r>
              <w:rPr>
                <w:noProof/>
                <w:webHidden/>
              </w:rPr>
              <w:fldChar w:fldCharType="end"/>
            </w:r>
          </w:hyperlink>
        </w:p>
        <w:p w14:paraId="604F56DB" w14:textId="08648149" w:rsidR="00AE3B3E" w:rsidRDefault="00AE3B3E">
          <w:pPr>
            <w:pStyle w:val="TOC1"/>
            <w:tabs>
              <w:tab w:val="right" w:leader="dot" w:pos="9350"/>
            </w:tabs>
            <w:rPr>
              <w:rFonts w:asciiTheme="minorHAnsi" w:eastAsiaTheme="minorEastAsia" w:hAnsiTheme="minorHAnsi" w:cstheme="minorBidi"/>
              <w:noProof/>
              <w:kern w:val="2"/>
              <w:lang/>
              <w14:ligatures w14:val="standardContextual"/>
            </w:rPr>
          </w:pPr>
          <w:hyperlink w:anchor="_Toc225776184" w:history="1">
            <w:r w:rsidRPr="00A447BA">
              <w:rPr>
                <w:rStyle w:val="Hyperlink"/>
                <w:b/>
                <w:bCs/>
                <w:noProof/>
              </w:rPr>
              <w:t>Acknowledgment</w:t>
            </w:r>
            <w:r>
              <w:rPr>
                <w:noProof/>
                <w:webHidden/>
              </w:rPr>
              <w:tab/>
            </w:r>
            <w:r>
              <w:rPr>
                <w:noProof/>
                <w:webHidden/>
              </w:rPr>
              <w:fldChar w:fldCharType="begin"/>
            </w:r>
            <w:r>
              <w:rPr>
                <w:noProof/>
                <w:webHidden/>
              </w:rPr>
              <w:instrText xml:space="preserve"> PAGEREF _Toc225776184 \h </w:instrText>
            </w:r>
            <w:r>
              <w:rPr>
                <w:noProof/>
                <w:webHidden/>
              </w:rPr>
            </w:r>
            <w:r>
              <w:rPr>
                <w:noProof/>
                <w:webHidden/>
              </w:rPr>
              <w:fldChar w:fldCharType="separate"/>
            </w:r>
            <w:r>
              <w:rPr>
                <w:noProof/>
                <w:webHidden/>
              </w:rPr>
              <w:t>2</w:t>
            </w:r>
            <w:r>
              <w:rPr>
                <w:noProof/>
                <w:webHidden/>
              </w:rPr>
              <w:fldChar w:fldCharType="end"/>
            </w:r>
          </w:hyperlink>
        </w:p>
        <w:p w14:paraId="5EC3FAC8" w14:textId="7D07D4FB" w:rsidR="00AE3B3E" w:rsidRDefault="00AE3B3E">
          <w:pPr>
            <w:pStyle w:val="TOC1"/>
            <w:tabs>
              <w:tab w:val="right" w:leader="dot" w:pos="9350"/>
            </w:tabs>
            <w:rPr>
              <w:rFonts w:asciiTheme="minorHAnsi" w:eastAsiaTheme="minorEastAsia" w:hAnsiTheme="minorHAnsi" w:cstheme="minorBidi"/>
              <w:noProof/>
              <w:kern w:val="2"/>
              <w:lang/>
              <w14:ligatures w14:val="standardContextual"/>
            </w:rPr>
          </w:pPr>
          <w:hyperlink w:anchor="_Toc225776185" w:history="1">
            <w:r w:rsidRPr="00A447BA">
              <w:rPr>
                <w:rStyle w:val="Hyperlink"/>
                <w:b/>
                <w:bCs/>
                <w:noProof/>
              </w:rPr>
              <w:t>Executive Summary</w:t>
            </w:r>
            <w:r>
              <w:rPr>
                <w:noProof/>
                <w:webHidden/>
              </w:rPr>
              <w:tab/>
            </w:r>
            <w:r>
              <w:rPr>
                <w:noProof/>
                <w:webHidden/>
              </w:rPr>
              <w:fldChar w:fldCharType="begin"/>
            </w:r>
            <w:r>
              <w:rPr>
                <w:noProof/>
                <w:webHidden/>
              </w:rPr>
              <w:instrText xml:space="preserve"> PAGEREF _Toc225776185 \h </w:instrText>
            </w:r>
            <w:r>
              <w:rPr>
                <w:noProof/>
                <w:webHidden/>
              </w:rPr>
            </w:r>
            <w:r>
              <w:rPr>
                <w:noProof/>
                <w:webHidden/>
              </w:rPr>
              <w:fldChar w:fldCharType="separate"/>
            </w:r>
            <w:r>
              <w:rPr>
                <w:noProof/>
                <w:webHidden/>
              </w:rPr>
              <w:t>3</w:t>
            </w:r>
            <w:r>
              <w:rPr>
                <w:noProof/>
                <w:webHidden/>
              </w:rPr>
              <w:fldChar w:fldCharType="end"/>
            </w:r>
          </w:hyperlink>
        </w:p>
        <w:p w14:paraId="1F78A1BA" w14:textId="1BAD44C9" w:rsidR="00AE3B3E" w:rsidRDefault="00AE3B3E">
          <w:pPr>
            <w:pStyle w:val="TOC1"/>
            <w:tabs>
              <w:tab w:val="right" w:leader="dot" w:pos="9350"/>
            </w:tabs>
            <w:rPr>
              <w:rFonts w:asciiTheme="minorHAnsi" w:eastAsiaTheme="minorEastAsia" w:hAnsiTheme="minorHAnsi" w:cstheme="minorBidi"/>
              <w:noProof/>
              <w:kern w:val="2"/>
              <w:lang/>
              <w14:ligatures w14:val="standardContextual"/>
            </w:rPr>
          </w:pPr>
          <w:hyperlink w:anchor="_Toc225776186" w:history="1">
            <w:r w:rsidRPr="00A447BA">
              <w:rPr>
                <w:rStyle w:val="Hyperlink"/>
                <w:b/>
                <w:bCs/>
                <w:noProof/>
              </w:rPr>
              <w:t>Background and Introduction</w:t>
            </w:r>
            <w:r>
              <w:rPr>
                <w:noProof/>
                <w:webHidden/>
              </w:rPr>
              <w:tab/>
            </w:r>
            <w:r>
              <w:rPr>
                <w:noProof/>
                <w:webHidden/>
              </w:rPr>
              <w:fldChar w:fldCharType="begin"/>
            </w:r>
            <w:r>
              <w:rPr>
                <w:noProof/>
                <w:webHidden/>
              </w:rPr>
              <w:instrText xml:space="preserve"> PAGEREF _Toc225776186 \h </w:instrText>
            </w:r>
            <w:r>
              <w:rPr>
                <w:noProof/>
                <w:webHidden/>
              </w:rPr>
            </w:r>
            <w:r>
              <w:rPr>
                <w:noProof/>
                <w:webHidden/>
              </w:rPr>
              <w:fldChar w:fldCharType="separate"/>
            </w:r>
            <w:r>
              <w:rPr>
                <w:noProof/>
                <w:webHidden/>
              </w:rPr>
              <w:t>4</w:t>
            </w:r>
            <w:r>
              <w:rPr>
                <w:noProof/>
                <w:webHidden/>
              </w:rPr>
              <w:fldChar w:fldCharType="end"/>
            </w:r>
          </w:hyperlink>
        </w:p>
        <w:p w14:paraId="71E11297" w14:textId="3BC17224" w:rsidR="00AE3B3E" w:rsidRDefault="00AE3B3E">
          <w:pPr>
            <w:pStyle w:val="TOC1"/>
            <w:tabs>
              <w:tab w:val="right" w:leader="dot" w:pos="9350"/>
            </w:tabs>
            <w:rPr>
              <w:rFonts w:asciiTheme="minorHAnsi" w:eastAsiaTheme="minorEastAsia" w:hAnsiTheme="minorHAnsi" w:cstheme="minorBidi"/>
              <w:noProof/>
              <w:kern w:val="2"/>
              <w:lang/>
              <w14:ligatures w14:val="standardContextual"/>
            </w:rPr>
          </w:pPr>
          <w:hyperlink w:anchor="_Toc225776187" w:history="1">
            <w:r w:rsidRPr="00A447BA">
              <w:rPr>
                <w:rStyle w:val="Hyperlink"/>
                <w:b/>
                <w:bCs/>
                <w:noProof/>
              </w:rPr>
              <w:t>Progress and Challenges – FY 2025</w:t>
            </w:r>
            <w:r>
              <w:rPr>
                <w:noProof/>
                <w:webHidden/>
              </w:rPr>
              <w:tab/>
            </w:r>
            <w:r>
              <w:rPr>
                <w:noProof/>
                <w:webHidden/>
              </w:rPr>
              <w:fldChar w:fldCharType="begin"/>
            </w:r>
            <w:r>
              <w:rPr>
                <w:noProof/>
                <w:webHidden/>
              </w:rPr>
              <w:instrText xml:space="preserve"> PAGEREF _Toc225776187 \h </w:instrText>
            </w:r>
            <w:r>
              <w:rPr>
                <w:noProof/>
                <w:webHidden/>
              </w:rPr>
            </w:r>
            <w:r>
              <w:rPr>
                <w:noProof/>
                <w:webHidden/>
              </w:rPr>
              <w:fldChar w:fldCharType="separate"/>
            </w:r>
            <w:r>
              <w:rPr>
                <w:noProof/>
                <w:webHidden/>
              </w:rPr>
              <w:t>6</w:t>
            </w:r>
            <w:r>
              <w:rPr>
                <w:noProof/>
                <w:webHidden/>
              </w:rPr>
              <w:fldChar w:fldCharType="end"/>
            </w:r>
          </w:hyperlink>
        </w:p>
        <w:p w14:paraId="629329A2" w14:textId="6CAA183A" w:rsidR="00AE3B3E" w:rsidRDefault="00AE3B3E">
          <w:pPr>
            <w:pStyle w:val="TOC2"/>
            <w:tabs>
              <w:tab w:val="right" w:leader="dot" w:pos="9350"/>
            </w:tabs>
            <w:rPr>
              <w:rFonts w:asciiTheme="minorHAnsi" w:eastAsiaTheme="minorEastAsia" w:hAnsiTheme="minorHAnsi" w:cstheme="minorBidi"/>
              <w:noProof/>
              <w:kern w:val="2"/>
              <w:lang/>
              <w14:ligatures w14:val="standardContextual"/>
            </w:rPr>
          </w:pPr>
          <w:hyperlink w:anchor="_Toc225776188" w:history="1">
            <w:r w:rsidRPr="00A447BA">
              <w:rPr>
                <w:rStyle w:val="Hyperlink"/>
                <w:noProof/>
              </w:rPr>
              <w:t>1. Publication of the FY 2023 EITI Report</w:t>
            </w:r>
            <w:r>
              <w:rPr>
                <w:noProof/>
                <w:webHidden/>
              </w:rPr>
              <w:tab/>
            </w:r>
            <w:r>
              <w:rPr>
                <w:noProof/>
                <w:webHidden/>
              </w:rPr>
              <w:fldChar w:fldCharType="begin"/>
            </w:r>
            <w:r>
              <w:rPr>
                <w:noProof/>
                <w:webHidden/>
              </w:rPr>
              <w:instrText xml:space="preserve"> PAGEREF _Toc225776188 \h </w:instrText>
            </w:r>
            <w:r>
              <w:rPr>
                <w:noProof/>
                <w:webHidden/>
              </w:rPr>
            </w:r>
            <w:r>
              <w:rPr>
                <w:noProof/>
                <w:webHidden/>
              </w:rPr>
              <w:fldChar w:fldCharType="separate"/>
            </w:r>
            <w:r>
              <w:rPr>
                <w:noProof/>
                <w:webHidden/>
              </w:rPr>
              <w:t>6</w:t>
            </w:r>
            <w:r>
              <w:rPr>
                <w:noProof/>
                <w:webHidden/>
              </w:rPr>
              <w:fldChar w:fldCharType="end"/>
            </w:r>
          </w:hyperlink>
        </w:p>
        <w:p w14:paraId="42B11294" w14:textId="74DA32E6" w:rsidR="00AE3B3E" w:rsidRDefault="00AE3B3E">
          <w:pPr>
            <w:pStyle w:val="TOC2"/>
            <w:tabs>
              <w:tab w:val="right" w:leader="dot" w:pos="9350"/>
            </w:tabs>
            <w:rPr>
              <w:rFonts w:asciiTheme="minorHAnsi" w:eastAsiaTheme="minorEastAsia" w:hAnsiTheme="minorHAnsi" w:cstheme="minorBidi"/>
              <w:noProof/>
              <w:kern w:val="2"/>
              <w:lang/>
              <w14:ligatures w14:val="standardContextual"/>
            </w:rPr>
          </w:pPr>
          <w:hyperlink w:anchor="_Toc225776189" w:history="1">
            <w:r w:rsidRPr="00A447BA">
              <w:rPr>
                <w:rStyle w:val="Hyperlink"/>
                <w:noProof/>
              </w:rPr>
              <w:t>2. Website Strengthening and Public Accessibility</w:t>
            </w:r>
            <w:r>
              <w:rPr>
                <w:noProof/>
                <w:webHidden/>
              </w:rPr>
              <w:tab/>
            </w:r>
            <w:r>
              <w:rPr>
                <w:noProof/>
                <w:webHidden/>
              </w:rPr>
              <w:fldChar w:fldCharType="begin"/>
            </w:r>
            <w:r>
              <w:rPr>
                <w:noProof/>
                <w:webHidden/>
              </w:rPr>
              <w:instrText xml:space="preserve"> PAGEREF _Toc225776189 \h </w:instrText>
            </w:r>
            <w:r>
              <w:rPr>
                <w:noProof/>
                <w:webHidden/>
              </w:rPr>
            </w:r>
            <w:r>
              <w:rPr>
                <w:noProof/>
                <w:webHidden/>
              </w:rPr>
              <w:fldChar w:fldCharType="separate"/>
            </w:r>
            <w:r>
              <w:rPr>
                <w:noProof/>
                <w:webHidden/>
              </w:rPr>
              <w:t>7</w:t>
            </w:r>
            <w:r>
              <w:rPr>
                <w:noProof/>
                <w:webHidden/>
              </w:rPr>
              <w:fldChar w:fldCharType="end"/>
            </w:r>
          </w:hyperlink>
        </w:p>
        <w:p w14:paraId="1E2292BB" w14:textId="2A368DD8" w:rsidR="00AE3B3E" w:rsidRDefault="00AE3B3E">
          <w:pPr>
            <w:pStyle w:val="TOC2"/>
            <w:tabs>
              <w:tab w:val="right" w:leader="dot" w:pos="9350"/>
            </w:tabs>
            <w:rPr>
              <w:rFonts w:asciiTheme="minorHAnsi" w:eastAsiaTheme="minorEastAsia" w:hAnsiTheme="minorHAnsi" w:cstheme="minorBidi"/>
              <w:noProof/>
              <w:kern w:val="2"/>
              <w:lang/>
              <w14:ligatures w14:val="standardContextual"/>
            </w:rPr>
          </w:pPr>
          <w:hyperlink w:anchor="_Toc225776190" w:history="1">
            <w:r w:rsidRPr="00A447BA">
              <w:rPr>
                <w:rStyle w:val="Hyperlink"/>
                <w:noProof/>
              </w:rPr>
              <w:t>3. Development of the 2025–2026 Work Plan</w:t>
            </w:r>
            <w:r>
              <w:rPr>
                <w:noProof/>
                <w:webHidden/>
              </w:rPr>
              <w:tab/>
            </w:r>
            <w:r>
              <w:rPr>
                <w:noProof/>
                <w:webHidden/>
              </w:rPr>
              <w:fldChar w:fldCharType="begin"/>
            </w:r>
            <w:r>
              <w:rPr>
                <w:noProof/>
                <w:webHidden/>
              </w:rPr>
              <w:instrText xml:space="preserve"> PAGEREF _Toc225776190 \h </w:instrText>
            </w:r>
            <w:r>
              <w:rPr>
                <w:noProof/>
                <w:webHidden/>
              </w:rPr>
            </w:r>
            <w:r>
              <w:rPr>
                <w:noProof/>
                <w:webHidden/>
              </w:rPr>
              <w:fldChar w:fldCharType="separate"/>
            </w:r>
            <w:r>
              <w:rPr>
                <w:noProof/>
                <w:webHidden/>
              </w:rPr>
              <w:t>7</w:t>
            </w:r>
            <w:r>
              <w:rPr>
                <w:noProof/>
                <w:webHidden/>
              </w:rPr>
              <w:fldChar w:fldCharType="end"/>
            </w:r>
          </w:hyperlink>
        </w:p>
        <w:p w14:paraId="2F63D70B" w14:textId="4D76445F" w:rsidR="00AE3B3E" w:rsidRDefault="00AE3B3E">
          <w:pPr>
            <w:pStyle w:val="TOC2"/>
            <w:tabs>
              <w:tab w:val="right" w:leader="dot" w:pos="9350"/>
            </w:tabs>
            <w:rPr>
              <w:rFonts w:asciiTheme="minorHAnsi" w:eastAsiaTheme="minorEastAsia" w:hAnsiTheme="minorHAnsi" w:cstheme="minorBidi"/>
              <w:noProof/>
              <w:kern w:val="2"/>
              <w:lang/>
              <w14:ligatures w14:val="standardContextual"/>
            </w:rPr>
          </w:pPr>
          <w:hyperlink w:anchor="_Toc225776191" w:history="1">
            <w:r w:rsidRPr="00A447BA">
              <w:rPr>
                <w:rStyle w:val="Hyperlink"/>
                <w:noProof/>
              </w:rPr>
              <w:t>4. Communications and Public Engagement</w:t>
            </w:r>
            <w:r>
              <w:rPr>
                <w:noProof/>
                <w:webHidden/>
              </w:rPr>
              <w:tab/>
            </w:r>
            <w:r>
              <w:rPr>
                <w:noProof/>
                <w:webHidden/>
              </w:rPr>
              <w:fldChar w:fldCharType="begin"/>
            </w:r>
            <w:r>
              <w:rPr>
                <w:noProof/>
                <w:webHidden/>
              </w:rPr>
              <w:instrText xml:space="preserve"> PAGEREF _Toc225776191 \h </w:instrText>
            </w:r>
            <w:r>
              <w:rPr>
                <w:noProof/>
                <w:webHidden/>
              </w:rPr>
            </w:r>
            <w:r>
              <w:rPr>
                <w:noProof/>
                <w:webHidden/>
              </w:rPr>
              <w:fldChar w:fldCharType="separate"/>
            </w:r>
            <w:r>
              <w:rPr>
                <w:noProof/>
                <w:webHidden/>
              </w:rPr>
              <w:t>7</w:t>
            </w:r>
            <w:r>
              <w:rPr>
                <w:noProof/>
                <w:webHidden/>
              </w:rPr>
              <w:fldChar w:fldCharType="end"/>
            </w:r>
          </w:hyperlink>
        </w:p>
        <w:p w14:paraId="243D82EF" w14:textId="59D9D29F" w:rsidR="00AE3B3E" w:rsidRDefault="00AE3B3E">
          <w:pPr>
            <w:pStyle w:val="TOC2"/>
            <w:tabs>
              <w:tab w:val="right" w:leader="dot" w:pos="9350"/>
            </w:tabs>
            <w:rPr>
              <w:rFonts w:asciiTheme="minorHAnsi" w:eastAsiaTheme="minorEastAsia" w:hAnsiTheme="minorHAnsi" w:cstheme="minorBidi"/>
              <w:noProof/>
              <w:kern w:val="2"/>
              <w:lang/>
              <w14:ligatures w14:val="standardContextual"/>
            </w:rPr>
          </w:pPr>
          <w:hyperlink w:anchor="_Toc225776192" w:history="1">
            <w:r w:rsidRPr="00A447BA">
              <w:rPr>
                <w:rStyle w:val="Hyperlink"/>
                <w:noProof/>
              </w:rPr>
              <w:t>5. Systematic Disclosure and Open Data</w:t>
            </w:r>
            <w:r>
              <w:rPr>
                <w:noProof/>
                <w:webHidden/>
              </w:rPr>
              <w:tab/>
            </w:r>
            <w:r>
              <w:rPr>
                <w:noProof/>
                <w:webHidden/>
              </w:rPr>
              <w:fldChar w:fldCharType="begin"/>
            </w:r>
            <w:r>
              <w:rPr>
                <w:noProof/>
                <w:webHidden/>
              </w:rPr>
              <w:instrText xml:space="preserve"> PAGEREF _Toc225776192 \h </w:instrText>
            </w:r>
            <w:r>
              <w:rPr>
                <w:noProof/>
                <w:webHidden/>
              </w:rPr>
            </w:r>
            <w:r>
              <w:rPr>
                <w:noProof/>
                <w:webHidden/>
              </w:rPr>
              <w:fldChar w:fldCharType="separate"/>
            </w:r>
            <w:r>
              <w:rPr>
                <w:noProof/>
                <w:webHidden/>
              </w:rPr>
              <w:t>7</w:t>
            </w:r>
            <w:r>
              <w:rPr>
                <w:noProof/>
                <w:webHidden/>
              </w:rPr>
              <w:fldChar w:fldCharType="end"/>
            </w:r>
          </w:hyperlink>
        </w:p>
        <w:p w14:paraId="66D4DEAB" w14:textId="74D28DFE" w:rsidR="00AE3B3E" w:rsidRDefault="00AE3B3E">
          <w:pPr>
            <w:pStyle w:val="TOC2"/>
            <w:tabs>
              <w:tab w:val="right" w:leader="dot" w:pos="9350"/>
            </w:tabs>
            <w:rPr>
              <w:rFonts w:asciiTheme="minorHAnsi" w:eastAsiaTheme="minorEastAsia" w:hAnsiTheme="minorHAnsi" w:cstheme="minorBidi"/>
              <w:noProof/>
              <w:kern w:val="2"/>
              <w:lang/>
              <w14:ligatures w14:val="standardContextual"/>
            </w:rPr>
          </w:pPr>
          <w:hyperlink w:anchor="_Toc225776193" w:history="1">
            <w:r w:rsidRPr="00A447BA">
              <w:rPr>
                <w:rStyle w:val="Hyperlink"/>
                <w:noProof/>
              </w:rPr>
              <w:t>6. Technical Assistance, Capacity Development, and Institutional Project Delivery</w:t>
            </w:r>
            <w:r>
              <w:rPr>
                <w:noProof/>
                <w:webHidden/>
              </w:rPr>
              <w:tab/>
            </w:r>
            <w:r>
              <w:rPr>
                <w:noProof/>
                <w:webHidden/>
              </w:rPr>
              <w:fldChar w:fldCharType="begin"/>
            </w:r>
            <w:r>
              <w:rPr>
                <w:noProof/>
                <w:webHidden/>
              </w:rPr>
              <w:instrText xml:space="preserve"> PAGEREF _Toc225776193 \h </w:instrText>
            </w:r>
            <w:r>
              <w:rPr>
                <w:noProof/>
                <w:webHidden/>
              </w:rPr>
            </w:r>
            <w:r>
              <w:rPr>
                <w:noProof/>
                <w:webHidden/>
              </w:rPr>
              <w:fldChar w:fldCharType="separate"/>
            </w:r>
            <w:r>
              <w:rPr>
                <w:noProof/>
                <w:webHidden/>
              </w:rPr>
              <w:t>7</w:t>
            </w:r>
            <w:r>
              <w:rPr>
                <w:noProof/>
                <w:webHidden/>
              </w:rPr>
              <w:fldChar w:fldCharType="end"/>
            </w:r>
          </w:hyperlink>
        </w:p>
        <w:p w14:paraId="0F6F29C7" w14:textId="6CB27EE1" w:rsidR="00AE3B3E" w:rsidRDefault="00AE3B3E">
          <w:pPr>
            <w:pStyle w:val="TOC2"/>
            <w:tabs>
              <w:tab w:val="right" w:leader="dot" w:pos="9350"/>
            </w:tabs>
            <w:rPr>
              <w:rFonts w:asciiTheme="minorHAnsi" w:eastAsiaTheme="minorEastAsia" w:hAnsiTheme="minorHAnsi" w:cstheme="minorBidi"/>
              <w:noProof/>
              <w:kern w:val="2"/>
              <w:lang/>
              <w14:ligatures w14:val="standardContextual"/>
            </w:rPr>
          </w:pPr>
          <w:hyperlink w:anchor="_Toc225776194" w:history="1">
            <w:r w:rsidRPr="00A447BA">
              <w:rPr>
                <w:rStyle w:val="Hyperlink"/>
                <w:noProof/>
              </w:rPr>
              <w:t>7. Key Implementation Challenges</w:t>
            </w:r>
            <w:r>
              <w:rPr>
                <w:noProof/>
                <w:webHidden/>
              </w:rPr>
              <w:tab/>
            </w:r>
            <w:r>
              <w:rPr>
                <w:noProof/>
                <w:webHidden/>
              </w:rPr>
              <w:fldChar w:fldCharType="begin"/>
            </w:r>
            <w:r>
              <w:rPr>
                <w:noProof/>
                <w:webHidden/>
              </w:rPr>
              <w:instrText xml:space="preserve"> PAGEREF _Toc225776194 \h </w:instrText>
            </w:r>
            <w:r>
              <w:rPr>
                <w:noProof/>
                <w:webHidden/>
              </w:rPr>
            </w:r>
            <w:r>
              <w:rPr>
                <w:noProof/>
                <w:webHidden/>
              </w:rPr>
              <w:fldChar w:fldCharType="separate"/>
            </w:r>
            <w:r>
              <w:rPr>
                <w:noProof/>
                <w:webHidden/>
              </w:rPr>
              <w:t>8</w:t>
            </w:r>
            <w:r>
              <w:rPr>
                <w:noProof/>
                <w:webHidden/>
              </w:rPr>
              <w:fldChar w:fldCharType="end"/>
            </w:r>
          </w:hyperlink>
        </w:p>
        <w:p w14:paraId="36A28119" w14:textId="092B52FF" w:rsidR="00AE3B3E" w:rsidRDefault="00AE3B3E">
          <w:pPr>
            <w:pStyle w:val="TOC1"/>
            <w:tabs>
              <w:tab w:val="right" w:leader="dot" w:pos="9350"/>
            </w:tabs>
            <w:rPr>
              <w:rFonts w:asciiTheme="minorHAnsi" w:eastAsiaTheme="minorEastAsia" w:hAnsiTheme="minorHAnsi" w:cstheme="minorBidi"/>
              <w:noProof/>
              <w:kern w:val="2"/>
              <w:lang/>
              <w14:ligatures w14:val="standardContextual"/>
            </w:rPr>
          </w:pPr>
          <w:hyperlink w:anchor="_Toc225776195" w:history="1">
            <w:r w:rsidRPr="00A447BA">
              <w:rPr>
                <w:rStyle w:val="Hyperlink"/>
                <w:b/>
                <w:bCs/>
                <w:noProof/>
              </w:rPr>
              <w:t>Overview of Activities and Outcomes</w:t>
            </w:r>
            <w:r>
              <w:rPr>
                <w:noProof/>
                <w:webHidden/>
              </w:rPr>
              <w:tab/>
            </w:r>
            <w:r>
              <w:rPr>
                <w:noProof/>
                <w:webHidden/>
              </w:rPr>
              <w:fldChar w:fldCharType="begin"/>
            </w:r>
            <w:r>
              <w:rPr>
                <w:noProof/>
                <w:webHidden/>
              </w:rPr>
              <w:instrText xml:space="preserve"> PAGEREF _Toc225776195 \h </w:instrText>
            </w:r>
            <w:r>
              <w:rPr>
                <w:noProof/>
                <w:webHidden/>
              </w:rPr>
            </w:r>
            <w:r>
              <w:rPr>
                <w:noProof/>
                <w:webHidden/>
              </w:rPr>
              <w:fldChar w:fldCharType="separate"/>
            </w:r>
            <w:r>
              <w:rPr>
                <w:noProof/>
                <w:webHidden/>
              </w:rPr>
              <w:t>8</w:t>
            </w:r>
            <w:r>
              <w:rPr>
                <w:noProof/>
                <w:webHidden/>
              </w:rPr>
              <w:fldChar w:fldCharType="end"/>
            </w:r>
          </w:hyperlink>
        </w:p>
        <w:p w14:paraId="133F72B4" w14:textId="69241F55" w:rsidR="00AE3B3E" w:rsidRDefault="00AE3B3E">
          <w:pPr>
            <w:pStyle w:val="TOC1"/>
            <w:tabs>
              <w:tab w:val="right" w:leader="dot" w:pos="9350"/>
            </w:tabs>
            <w:rPr>
              <w:rFonts w:asciiTheme="minorHAnsi" w:eastAsiaTheme="minorEastAsia" w:hAnsiTheme="minorHAnsi" w:cstheme="minorBidi"/>
              <w:noProof/>
              <w:kern w:val="2"/>
              <w:lang/>
              <w14:ligatures w14:val="standardContextual"/>
            </w:rPr>
          </w:pPr>
          <w:hyperlink w:anchor="_Toc225776196" w:history="1">
            <w:r w:rsidRPr="00A447BA">
              <w:rPr>
                <w:rStyle w:val="Hyperlink"/>
                <w:b/>
                <w:bCs/>
                <w:noProof/>
              </w:rPr>
              <w:t>Fully completed Activities from 2025 Workplan</w:t>
            </w:r>
            <w:r>
              <w:rPr>
                <w:noProof/>
                <w:webHidden/>
              </w:rPr>
              <w:tab/>
            </w:r>
            <w:r>
              <w:rPr>
                <w:noProof/>
                <w:webHidden/>
              </w:rPr>
              <w:fldChar w:fldCharType="begin"/>
            </w:r>
            <w:r>
              <w:rPr>
                <w:noProof/>
                <w:webHidden/>
              </w:rPr>
              <w:instrText xml:space="preserve"> PAGEREF _Toc225776196 \h </w:instrText>
            </w:r>
            <w:r>
              <w:rPr>
                <w:noProof/>
                <w:webHidden/>
              </w:rPr>
            </w:r>
            <w:r>
              <w:rPr>
                <w:noProof/>
                <w:webHidden/>
              </w:rPr>
              <w:fldChar w:fldCharType="separate"/>
            </w:r>
            <w:r>
              <w:rPr>
                <w:noProof/>
                <w:webHidden/>
              </w:rPr>
              <w:t>9</w:t>
            </w:r>
            <w:r>
              <w:rPr>
                <w:noProof/>
                <w:webHidden/>
              </w:rPr>
              <w:fldChar w:fldCharType="end"/>
            </w:r>
          </w:hyperlink>
        </w:p>
        <w:p w14:paraId="042015F9" w14:textId="1C9D6F7D" w:rsidR="00AE3B3E" w:rsidRDefault="00AE3B3E">
          <w:pPr>
            <w:pStyle w:val="TOC2"/>
            <w:tabs>
              <w:tab w:val="right" w:leader="dot" w:pos="9350"/>
            </w:tabs>
            <w:rPr>
              <w:rFonts w:asciiTheme="minorHAnsi" w:eastAsiaTheme="minorEastAsia" w:hAnsiTheme="minorHAnsi" w:cstheme="minorBidi"/>
              <w:noProof/>
              <w:kern w:val="2"/>
              <w:lang/>
              <w14:ligatures w14:val="standardContextual"/>
            </w:rPr>
          </w:pPr>
          <w:hyperlink w:anchor="_Toc225776197" w:history="1">
            <w:r w:rsidRPr="00A447BA">
              <w:rPr>
                <w:rStyle w:val="Hyperlink"/>
                <w:noProof/>
              </w:rPr>
              <w:t>1. EITI Reporting – Guyana’s 7th EITI Report (FY 2023)</w:t>
            </w:r>
            <w:r>
              <w:rPr>
                <w:noProof/>
                <w:webHidden/>
              </w:rPr>
              <w:tab/>
            </w:r>
            <w:r>
              <w:rPr>
                <w:noProof/>
                <w:webHidden/>
              </w:rPr>
              <w:fldChar w:fldCharType="begin"/>
            </w:r>
            <w:r>
              <w:rPr>
                <w:noProof/>
                <w:webHidden/>
              </w:rPr>
              <w:instrText xml:space="preserve"> PAGEREF _Toc225776197 \h </w:instrText>
            </w:r>
            <w:r>
              <w:rPr>
                <w:noProof/>
                <w:webHidden/>
              </w:rPr>
            </w:r>
            <w:r>
              <w:rPr>
                <w:noProof/>
                <w:webHidden/>
              </w:rPr>
              <w:fldChar w:fldCharType="separate"/>
            </w:r>
            <w:r>
              <w:rPr>
                <w:noProof/>
                <w:webHidden/>
              </w:rPr>
              <w:t>9</w:t>
            </w:r>
            <w:r>
              <w:rPr>
                <w:noProof/>
                <w:webHidden/>
              </w:rPr>
              <w:fldChar w:fldCharType="end"/>
            </w:r>
          </w:hyperlink>
        </w:p>
        <w:p w14:paraId="5DF795DF" w14:textId="23ED0E18" w:rsidR="00AE3B3E" w:rsidRDefault="00AE3B3E">
          <w:pPr>
            <w:pStyle w:val="TOC2"/>
            <w:tabs>
              <w:tab w:val="right" w:leader="dot" w:pos="9350"/>
            </w:tabs>
            <w:rPr>
              <w:rFonts w:asciiTheme="minorHAnsi" w:eastAsiaTheme="minorEastAsia" w:hAnsiTheme="minorHAnsi" w:cstheme="minorBidi"/>
              <w:noProof/>
              <w:kern w:val="2"/>
              <w:lang/>
              <w14:ligatures w14:val="standardContextual"/>
            </w:rPr>
          </w:pPr>
          <w:hyperlink w:anchor="_Toc225776198" w:history="1">
            <w:r w:rsidRPr="00A447BA">
              <w:rPr>
                <w:rStyle w:val="Hyperlink"/>
                <w:noProof/>
              </w:rPr>
              <w:t>2. Communications Strategy (2021–2025)</w:t>
            </w:r>
            <w:r>
              <w:rPr>
                <w:noProof/>
                <w:webHidden/>
              </w:rPr>
              <w:tab/>
            </w:r>
            <w:r>
              <w:rPr>
                <w:noProof/>
                <w:webHidden/>
              </w:rPr>
              <w:fldChar w:fldCharType="begin"/>
            </w:r>
            <w:r>
              <w:rPr>
                <w:noProof/>
                <w:webHidden/>
              </w:rPr>
              <w:instrText xml:space="preserve"> PAGEREF _Toc225776198 \h </w:instrText>
            </w:r>
            <w:r>
              <w:rPr>
                <w:noProof/>
                <w:webHidden/>
              </w:rPr>
            </w:r>
            <w:r>
              <w:rPr>
                <w:noProof/>
                <w:webHidden/>
              </w:rPr>
              <w:fldChar w:fldCharType="separate"/>
            </w:r>
            <w:r>
              <w:rPr>
                <w:noProof/>
                <w:webHidden/>
              </w:rPr>
              <w:t>10</w:t>
            </w:r>
            <w:r>
              <w:rPr>
                <w:noProof/>
                <w:webHidden/>
              </w:rPr>
              <w:fldChar w:fldCharType="end"/>
            </w:r>
          </w:hyperlink>
        </w:p>
        <w:p w14:paraId="7E3D707D" w14:textId="0A5594F2" w:rsidR="00AE3B3E" w:rsidRDefault="00AE3B3E">
          <w:pPr>
            <w:pStyle w:val="TOC2"/>
            <w:tabs>
              <w:tab w:val="right" w:leader="dot" w:pos="9350"/>
            </w:tabs>
            <w:rPr>
              <w:rFonts w:asciiTheme="minorHAnsi" w:eastAsiaTheme="minorEastAsia" w:hAnsiTheme="minorHAnsi" w:cstheme="minorBidi"/>
              <w:noProof/>
              <w:kern w:val="2"/>
              <w:lang/>
              <w14:ligatures w14:val="standardContextual"/>
            </w:rPr>
          </w:pPr>
          <w:hyperlink w:anchor="_Toc225776199" w:history="1">
            <w:r w:rsidRPr="00A447BA">
              <w:rPr>
                <w:rStyle w:val="Hyperlink"/>
                <w:noProof/>
              </w:rPr>
              <w:t>3. Stakeholder Engagement – 2025:</w:t>
            </w:r>
            <w:r>
              <w:rPr>
                <w:noProof/>
                <w:webHidden/>
              </w:rPr>
              <w:tab/>
            </w:r>
            <w:r>
              <w:rPr>
                <w:noProof/>
                <w:webHidden/>
              </w:rPr>
              <w:fldChar w:fldCharType="begin"/>
            </w:r>
            <w:r>
              <w:rPr>
                <w:noProof/>
                <w:webHidden/>
              </w:rPr>
              <w:instrText xml:space="preserve"> PAGEREF _Toc225776199 \h </w:instrText>
            </w:r>
            <w:r>
              <w:rPr>
                <w:noProof/>
                <w:webHidden/>
              </w:rPr>
            </w:r>
            <w:r>
              <w:rPr>
                <w:noProof/>
                <w:webHidden/>
              </w:rPr>
              <w:fldChar w:fldCharType="separate"/>
            </w:r>
            <w:r>
              <w:rPr>
                <w:noProof/>
                <w:webHidden/>
              </w:rPr>
              <w:t>10</w:t>
            </w:r>
            <w:r>
              <w:rPr>
                <w:noProof/>
                <w:webHidden/>
              </w:rPr>
              <w:fldChar w:fldCharType="end"/>
            </w:r>
          </w:hyperlink>
        </w:p>
        <w:p w14:paraId="16115B81" w14:textId="78525981" w:rsidR="00AE3B3E" w:rsidRDefault="00AE3B3E">
          <w:pPr>
            <w:pStyle w:val="TOC2"/>
            <w:tabs>
              <w:tab w:val="right" w:leader="dot" w:pos="9350"/>
            </w:tabs>
            <w:rPr>
              <w:rFonts w:asciiTheme="minorHAnsi" w:eastAsiaTheme="minorEastAsia" w:hAnsiTheme="minorHAnsi" w:cstheme="minorBidi"/>
              <w:noProof/>
              <w:kern w:val="2"/>
              <w:lang/>
              <w14:ligatures w14:val="standardContextual"/>
            </w:rPr>
          </w:pPr>
          <w:hyperlink w:anchor="_Toc225776200" w:history="1">
            <w:r w:rsidRPr="00A447BA">
              <w:rPr>
                <w:rStyle w:val="Hyperlink"/>
                <w:noProof/>
              </w:rPr>
              <w:t>4. Beneficial Ownership (BO)</w:t>
            </w:r>
            <w:r>
              <w:rPr>
                <w:noProof/>
                <w:webHidden/>
              </w:rPr>
              <w:tab/>
            </w:r>
            <w:r>
              <w:rPr>
                <w:noProof/>
                <w:webHidden/>
              </w:rPr>
              <w:fldChar w:fldCharType="begin"/>
            </w:r>
            <w:r>
              <w:rPr>
                <w:noProof/>
                <w:webHidden/>
              </w:rPr>
              <w:instrText xml:space="preserve"> PAGEREF _Toc225776200 \h </w:instrText>
            </w:r>
            <w:r>
              <w:rPr>
                <w:noProof/>
                <w:webHidden/>
              </w:rPr>
            </w:r>
            <w:r>
              <w:rPr>
                <w:noProof/>
                <w:webHidden/>
              </w:rPr>
              <w:fldChar w:fldCharType="separate"/>
            </w:r>
            <w:r>
              <w:rPr>
                <w:noProof/>
                <w:webHidden/>
              </w:rPr>
              <w:t>12</w:t>
            </w:r>
            <w:r>
              <w:rPr>
                <w:noProof/>
                <w:webHidden/>
              </w:rPr>
              <w:fldChar w:fldCharType="end"/>
            </w:r>
          </w:hyperlink>
        </w:p>
        <w:p w14:paraId="32F03383" w14:textId="6E4A7A07" w:rsidR="00AE3B3E" w:rsidRDefault="00AE3B3E">
          <w:pPr>
            <w:pStyle w:val="TOC2"/>
            <w:tabs>
              <w:tab w:val="right" w:leader="dot" w:pos="9350"/>
            </w:tabs>
            <w:rPr>
              <w:rFonts w:asciiTheme="minorHAnsi" w:eastAsiaTheme="minorEastAsia" w:hAnsiTheme="minorHAnsi" w:cstheme="minorBidi"/>
              <w:noProof/>
              <w:kern w:val="2"/>
              <w:lang/>
              <w14:ligatures w14:val="standardContextual"/>
            </w:rPr>
          </w:pPr>
          <w:hyperlink w:anchor="_Toc225776201" w:history="1">
            <w:r w:rsidRPr="00A447BA">
              <w:rPr>
                <w:rStyle w:val="Hyperlink"/>
                <w:noProof/>
              </w:rPr>
              <w:t>5. Systematic Disclosure / Mainstreaming</w:t>
            </w:r>
            <w:r>
              <w:rPr>
                <w:noProof/>
                <w:webHidden/>
              </w:rPr>
              <w:tab/>
            </w:r>
            <w:r>
              <w:rPr>
                <w:noProof/>
                <w:webHidden/>
              </w:rPr>
              <w:fldChar w:fldCharType="begin"/>
            </w:r>
            <w:r>
              <w:rPr>
                <w:noProof/>
                <w:webHidden/>
              </w:rPr>
              <w:instrText xml:space="preserve"> PAGEREF _Toc225776201 \h </w:instrText>
            </w:r>
            <w:r>
              <w:rPr>
                <w:noProof/>
                <w:webHidden/>
              </w:rPr>
            </w:r>
            <w:r>
              <w:rPr>
                <w:noProof/>
                <w:webHidden/>
              </w:rPr>
              <w:fldChar w:fldCharType="separate"/>
            </w:r>
            <w:r>
              <w:rPr>
                <w:noProof/>
                <w:webHidden/>
              </w:rPr>
              <w:t>13</w:t>
            </w:r>
            <w:r>
              <w:rPr>
                <w:noProof/>
                <w:webHidden/>
              </w:rPr>
              <w:fldChar w:fldCharType="end"/>
            </w:r>
          </w:hyperlink>
        </w:p>
        <w:p w14:paraId="43F505A7" w14:textId="1ABAEF36" w:rsidR="00AE3B3E" w:rsidRDefault="00AE3B3E">
          <w:pPr>
            <w:pStyle w:val="TOC2"/>
            <w:tabs>
              <w:tab w:val="right" w:leader="dot" w:pos="9350"/>
            </w:tabs>
            <w:rPr>
              <w:rFonts w:asciiTheme="minorHAnsi" w:eastAsiaTheme="minorEastAsia" w:hAnsiTheme="minorHAnsi" w:cstheme="minorBidi"/>
              <w:noProof/>
              <w:kern w:val="2"/>
              <w:lang/>
              <w14:ligatures w14:val="standardContextual"/>
            </w:rPr>
          </w:pPr>
          <w:hyperlink w:anchor="_Toc225776202" w:history="1">
            <w:r w:rsidRPr="00A447BA">
              <w:rPr>
                <w:rStyle w:val="Hyperlink"/>
                <w:noProof/>
              </w:rPr>
              <w:t>6. Data Analysis and Open Data</w:t>
            </w:r>
            <w:r>
              <w:rPr>
                <w:noProof/>
                <w:webHidden/>
              </w:rPr>
              <w:tab/>
            </w:r>
            <w:r>
              <w:rPr>
                <w:noProof/>
                <w:webHidden/>
              </w:rPr>
              <w:fldChar w:fldCharType="begin"/>
            </w:r>
            <w:r>
              <w:rPr>
                <w:noProof/>
                <w:webHidden/>
              </w:rPr>
              <w:instrText xml:space="preserve"> PAGEREF _Toc225776202 \h </w:instrText>
            </w:r>
            <w:r>
              <w:rPr>
                <w:noProof/>
                <w:webHidden/>
              </w:rPr>
            </w:r>
            <w:r>
              <w:rPr>
                <w:noProof/>
                <w:webHidden/>
              </w:rPr>
              <w:fldChar w:fldCharType="separate"/>
            </w:r>
            <w:r>
              <w:rPr>
                <w:noProof/>
                <w:webHidden/>
              </w:rPr>
              <w:t>13</w:t>
            </w:r>
            <w:r>
              <w:rPr>
                <w:noProof/>
                <w:webHidden/>
              </w:rPr>
              <w:fldChar w:fldCharType="end"/>
            </w:r>
          </w:hyperlink>
        </w:p>
        <w:p w14:paraId="29E6A213" w14:textId="57327950" w:rsidR="00AE3B3E" w:rsidRDefault="00AE3B3E">
          <w:pPr>
            <w:pStyle w:val="TOC2"/>
            <w:tabs>
              <w:tab w:val="right" w:leader="dot" w:pos="9350"/>
            </w:tabs>
            <w:rPr>
              <w:rFonts w:asciiTheme="minorHAnsi" w:eastAsiaTheme="minorEastAsia" w:hAnsiTheme="minorHAnsi" w:cstheme="minorBidi"/>
              <w:noProof/>
              <w:kern w:val="2"/>
              <w:lang/>
              <w14:ligatures w14:val="standardContextual"/>
            </w:rPr>
          </w:pPr>
          <w:hyperlink w:anchor="_Toc225776203" w:history="1">
            <w:r w:rsidRPr="00A447BA">
              <w:rPr>
                <w:rStyle w:val="Hyperlink"/>
                <w:noProof/>
              </w:rPr>
              <w:t>7. Website Maintenance and Content Management</w:t>
            </w:r>
            <w:r>
              <w:rPr>
                <w:noProof/>
                <w:webHidden/>
              </w:rPr>
              <w:tab/>
            </w:r>
            <w:r>
              <w:rPr>
                <w:noProof/>
                <w:webHidden/>
              </w:rPr>
              <w:fldChar w:fldCharType="begin"/>
            </w:r>
            <w:r>
              <w:rPr>
                <w:noProof/>
                <w:webHidden/>
              </w:rPr>
              <w:instrText xml:space="preserve"> PAGEREF _Toc225776203 \h </w:instrText>
            </w:r>
            <w:r>
              <w:rPr>
                <w:noProof/>
                <w:webHidden/>
              </w:rPr>
            </w:r>
            <w:r>
              <w:rPr>
                <w:noProof/>
                <w:webHidden/>
              </w:rPr>
              <w:fldChar w:fldCharType="separate"/>
            </w:r>
            <w:r>
              <w:rPr>
                <w:noProof/>
                <w:webHidden/>
              </w:rPr>
              <w:t>13</w:t>
            </w:r>
            <w:r>
              <w:rPr>
                <w:noProof/>
                <w:webHidden/>
              </w:rPr>
              <w:fldChar w:fldCharType="end"/>
            </w:r>
          </w:hyperlink>
        </w:p>
        <w:p w14:paraId="0FE4748B" w14:textId="263C7414" w:rsidR="00AE3B3E" w:rsidRDefault="00AE3B3E">
          <w:pPr>
            <w:pStyle w:val="TOC2"/>
            <w:tabs>
              <w:tab w:val="right" w:leader="dot" w:pos="9350"/>
            </w:tabs>
            <w:rPr>
              <w:rFonts w:asciiTheme="minorHAnsi" w:eastAsiaTheme="minorEastAsia" w:hAnsiTheme="minorHAnsi" w:cstheme="minorBidi"/>
              <w:noProof/>
              <w:kern w:val="2"/>
              <w:lang/>
              <w14:ligatures w14:val="standardContextual"/>
            </w:rPr>
          </w:pPr>
          <w:hyperlink w:anchor="_Toc225776204" w:history="1">
            <w:r w:rsidRPr="00A447BA">
              <w:rPr>
                <w:rStyle w:val="Hyperlink"/>
                <w:noProof/>
              </w:rPr>
              <w:t>8. Outreach and Dissemination (2025)</w:t>
            </w:r>
            <w:r>
              <w:rPr>
                <w:noProof/>
                <w:webHidden/>
              </w:rPr>
              <w:tab/>
            </w:r>
            <w:r>
              <w:rPr>
                <w:noProof/>
                <w:webHidden/>
              </w:rPr>
              <w:fldChar w:fldCharType="begin"/>
            </w:r>
            <w:r>
              <w:rPr>
                <w:noProof/>
                <w:webHidden/>
              </w:rPr>
              <w:instrText xml:space="preserve"> PAGEREF _Toc225776204 \h </w:instrText>
            </w:r>
            <w:r>
              <w:rPr>
                <w:noProof/>
                <w:webHidden/>
              </w:rPr>
            </w:r>
            <w:r>
              <w:rPr>
                <w:noProof/>
                <w:webHidden/>
              </w:rPr>
              <w:fldChar w:fldCharType="separate"/>
            </w:r>
            <w:r>
              <w:rPr>
                <w:noProof/>
                <w:webHidden/>
              </w:rPr>
              <w:t>14</w:t>
            </w:r>
            <w:r>
              <w:rPr>
                <w:noProof/>
                <w:webHidden/>
              </w:rPr>
              <w:fldChar w:fldCharType="end"/>
            </w:r>
          </w:hyperlink>
        </w:p>
        <w:p w14:paraId="4A57B078" w14:textId="7CF2E8AD" w:rsidR="00AE3B3E" w:rsidRDefault="00AE3B3E">
          <w:pPr>
            <w:pStyle w:val="TOC2"/>
            <w:tabs>
              <w:tab w:val="right" w:leader="dot" w:pos="9350"/>
            </w:tabs>
            <w:rPr>
              <w:rFonts w:asciiTheme="minorHAnsi" w:eastAsiaTheme="minorEastAsia" w:hAnsiTheme="minorHAnsi" w:cstheme="minorBidi"/>
              <w:noProof/>
              <w:kern w:val="2"/>
              <w:lang/>
              <w14:ligatures w14:val="standardContextual"/>
            </w:rPr>
          </w:pPr>
          <w:hyperlink w:anchor="_Toc225776205" w:history="1">
            <w:r w:rsidRPr="00A447BA">
              <w:rPr>
                <w:rStyle w:val="Hyperlink"/>
                <w:noProof/>
              </w:rPr>
              <w:t>9. Capacity Building (2025)</w:t>
            </w:r>
            <w:r>
              <w:rPr>
                <w:noProof/>
                <w:webHidden/>
              </w:rPr>
              <w:tab/>
            </w:r>
            <w:r>
              <w:rPr>
                <w:noProof/>
                <w:webHidden/>
              </w:rPr>
              <w:fldChar w:fldCharType="begin"/>
            </w:r>
            <w:r>
              <w:rPr>
                <w:noProof/>
                <w:webHidden/>
              </w:rPr>
              <w:instrText xml:space="preserve"> PAGEREF _Toc225776205 \h </w:instrText>
            </w:r>
            <w:r>
              <w:rPr>
                <w:noProof/>
                <w:webHidden/>
              </w:rPr>
            </w:r>
            <w:r>
              <w:rPr>
                <w:noProof/>
                <w:webHidden/>
              </w:rPr>
              <w:fldChar w:fldCharType="separate"/>
            </w:r>
            <w:r>
              <w:rPr>
                <w:noProof/>
                <w:webHidden/>
              </w:rPr>
              <w:t>14</w:t>
            </w:r>
            <w:r>
              <w:rPr>
                <w:noProof/>
                <w:webHidden/>
              </w:rPr>
              <w:fldChar w:fldCharType="end"/>
            </w:r>
          </w:hyperlink>
        </w:p>
        <w:p w14:paraId="2119B95F" w14:textId="4652D1A0" w:rsidR="00AE3B3E" w:rsidRDefault="00AE3B3E">
          <w:pPr>
            <w:pStyle w:val="TOC2"/>
            <w:tabs>
              <w:tab w:val="right" w:leader="dot" w:pos="9350"/>
            </w:tabs>
            <w:rPr>
              <w:rFonts w:asciiTheme="minorHAnsi" w:eastAsiaTheme="minorEastAsia" w:hAnsiTheme="minorHAnsi" w:cstheme="minorBidi"/>
              <w:noProof/>
              <w:kern w:val="2"/>
              <w:lang/>
              <w14:ligatures w14:val="standardContextual"/>
            </w:rPr>
          </w:pPr>
          <w:hyperlink w:anchor="_Toc225776206" w:history="1">
            <w:r w:rsidRPr="00A447BA">
              <w:rPr>
                <w:rStyle w:val="Hyperlink"/>
                <w:noProof/>
              </w:rPr>
              <w:t>10. MSG Governance and Meetings</w:t>
            </w:r>
            <w:r>
              <w:rPr>
                <w:noProof/>
                <w:webHidden/>
              </w:rPr>
              <w:tab/>
            </w:r>
            <w:r>
              <w:rPr>
                <w:noProof/>
                <w:webHidden/>
              </w:rPr>
              <w:fldChar w:fldCharType="begin"/>
            </w:r>
            <w:r>
              <w:rPr>
                <w:noProof/>
                <w:webHidden/>
              </w:rPr>
              <w:instrText xml:space="preserve"> PAGEREF _Toc225776206 \h </w:instrText>
            </w:r>
            <w:r>
              <w:rPr>
                <w:noProof/>
                <w:webHidden/>
              </w:rPr>
            </w:r>
            <w:r>
              <w:rPr>
                <w:noProof/>
                <w:webHidden/>
              </w:rPr>
              <w:fldChar w:fldCharType="separate"/>
            </w:r>
            <w:r>
              <w:rPr>
                <w:noProof/>
                <w:webHidden/>
              </w:rPr>
              <w:t>15</w:t>
            </w:r>
            <w:r>
              <w:rPr>
                <w:noProof/>
                <w:webHidden/>
              </w:rPr>
              <w:fldChar w:fldCharType="end"/>
            </w:r>
          </w:hyperlink>
        </w:p>
        <w:p w14:paraId="72E939D1" w14:textId="3AC163AF" w:rsidR="00AE3B3E" w:rsidRDefault="00AE3B3E">
          <w:pPr>
            <w:pStyle w:val="TOC2"/>
            <w:tabs>
              <w:tab w:val="right" w:leader="dot" w:pos="9350"/>
            </w:tabs>
            <w:rPr>
              <w:rFonts w:asciiTheme="minorHAnsi" w:eastAsiaTheme="minorEastAsia" w:hAnsiTheme="minorHAnsi" w:cstheme="minorBidi"/>
              <w:noProof/>
              <w:kern w:val="2"/>
              <w:lang/>
              <w14:ligatures w14:val="standardContextual"/>
            </w:rPr>
          </w:pPr>
          <w:hyperlink w:anchor="_Toc225776207" w:history="1">
            <w:r w:rsidRPr="00A447BA">
              <w:rPr>
                <w:rStyle w:val="Hyperlink"/>
                <w:noProof/>
              </w:rPr>
              <w:t>11. Constituency Feedback Mechanism</w:t>
            </w:r>
            <w:r>
              <w:rPr>
                <w:noProof/>
                <w:webHidden/>
              </w:rPr>
              <w:tab/>
            </w:r>
            <w:r>
              <w:rPr>
                <w:noProof/>
                <w:webHidden/>
              </w:rPr>
              <w:fldChar w:fldCharType="begin"/>
            </w:r>
            <w:r>
              <w:rPr>
                <w:noProof/>
                <w:webHidden/>
              </w:rPr>
              <w:instrText xml:space="preserve"> PAGEREF _Toc225776207 \h </w:instrText>
            </w:r>
            <w:r>
              <w:rPr>
                <w:noProof/>
                <w:webHidden/>
              </w:rPr>
            </w:r>
            <w:r>
              <w:rPr>
                <w:noProof/>
                <w:webHidden/>
              </w:rPr>
              <w:fldChar w:fldCharType="separate"/>
            </w:r>
            <w:r>
              <w:rPr>
                <w:noProof/>
                <w:webHidden/>
              </w:rPr>
              <w:t>15</w:t>
            </w:r>
            <w:r>
              <w:rPr>
                <w:noProof/>
                <w:webHidden/>
              </w:rPr>
              <w:fldChar w:fldCharType="end"/>
            </w:r>
          </w:hyperlink>
        </w:p>
        <w:p w14:paraId="785BEBA0" w14:textId="0BA0C414" w:rsidR="00AE3B3E" w:rsidRDefault="00AE3B3E">
          <w:pPr>
            <w:pStyle w:val="TOC1"/>
            <w:tabs>
              <w:tab w:val="right" w:leader="dot" w:pos="9350"/>
            </w:tabs>
            <w:rPr>
              <w:rFonts w:asciiTheme="minorHAnsi" w:eastAsiaTheme="minorEastAsia" w:hAnsiTheme="minorHAnsi" w:cstheme="minorBidi"/>
              <w:noProof/>
              <w:kern w:val="2"/>
              <w:lang/>
              <w14:ligatures w14:val="standardContextual"/>
            </w:rPr>
          </w:pPr>
          <w:hyperlink w:anchor="_Toc225776208" w:history="1">
            <w:r w:rsidRPr="00A447BA">
              <w:rPr>
                <w:rStyle w:val="Hyperlink"/>
                <w:b/>
                <w:bCs/>
                <w:noProof/>
              </w:rPr>
              <w:t>Assessment of Performance against EITI Requirements</w:t>
            </w:r>
            <w:r>
              <w:rPr>
                <w:noProof/>
                <w:webHidden/>
              </w:rPr>
              <w:tab/>
            </w:r>
            <w:r>
              <w:rPr>
                <w:noProof/>
                <w:webHidden/>
              </w:rPr>
              <w:fldChar w:fldCharType="begin"/>
            </w:r>
            <w:r>
              <w:rPr>
                <w:noProof/>
                <w:webHidden/>
              </w:rPr>
              <w:instrText xml:space="preserve"> PAGEREF _Toc225776208 \h </w:instrText>
            </w:r>
            <w:r>
              <w:rPr>
                <w:noProof/>
                <w:webHidden/>
              </w:rPr>
            </w:r>
            <w:r>
              <w:rPr>
                <w:noProof/>
                <w:webHidden/>
              </w:rPr>
              <w:fldChar w:fldCharType="separate"/>
            </w:r>
            <w:r>
              <w:rPr>
                <w:noProof/>
                <w:webHidden/>
              </w:rPr>
              <w:t>16</w:t>
            </w:r>
            <w:r>
              <w:rPr>
                <w:noProof/>
                <w:webHidden/>
              </w:rPr>
              <w:fldChar w:fldCharType="end"/>
            </w:r>
          </w:hyperlink>
        </w:p>
        <w:p w14:paraId="796B5E1F" w14:textId="51EC1C0F" w:rsidR="00AE3B3E" w:rsidRDefault="00AE3B3E">
          <w:pPr>
            <w:pStyle w:val="TOC1"/>
            <w:tabs>
              <w:tab w:val="right" w:leader="dot" w:pos="9350"/>
            </w:tabs>
            <w:rPr>
              <w:rFonts w:asciiTheme="minorHAnsi" w:eastAsiaTheme="minorEastAsia" w:hAnsiTheme="minorHAnsi" w:cstheme="minorBidi"/>
              <w:noProof/>
              <w:kern w:val="2"/>
              <w:lang/>
              <w14:ligatures w14:val="standardContextual"/>
            </w:rPr>
          </w:pPr>
          <w:hyperlink w:anchor="_Toc225776209" w:history="1">
            <w:r w:rsidRPr="00A447BA">
              <w:rPr>
                <w:rStyle w:val="Hyperlink"/>
                <w:b/>
                <w:bCs/>
                <w:noProof/>
              </w:rPr>
              <w:t>Strengths and Weaknesses Identified in EITI Process GYEITI</w:t>
            </w:r>
            <w:r>
              <w:rPr>
                <w:noProof/>
                <w:webHidden/>
              </w:rPr>
              <w:tab/>
            </w:r>
            <w:r>
              <w:rPr>
                <w:noProof/>
                <w:webHidden/>
              </w:rPr>
              <w:fldChar w:fldCharType="begin"/>
            </w:r>
            <w:r>
              <w:rPr>
                <w:noProof/>
                <w:webHidden/>
              </w:rPr>
              <w:instrText xml:space="preserve"> PAGEREF _Toc225776209 \h </w:instrText>
            </w:r>
            <w:r>
              <w:rPr>
                <w:noProof/>
                <w:webHidden/>
              </w:rPr>
            </w:r>
            <w:r>
              <w:rPr>
                <w:noProof/>
                <w:webHidden/>
              </w:rPr>
              <w:fldChar w:fldCharType="separate"/>
            </w:r>
            <w:r>
              <w:rPr>
                <w:noProof/>
                <w:webHidden/>
              </w:rPr>
              <w:t>35</w:t>
            </w:r>
            <w:r>
              <w:rPr>
                <w:noProof/>
                <w:webHidden/>
              </w:rPr>
              <w:fldChar w:fldCharType="end"/>
            </w:r>
          </w:hyperlink>
        </w:p>
        <w:p w14:paraId="2706B4FD" w14:textId="3316080A" w:rsidR="00AE3B3E" w:rsidRDefault="00AE3B3E">
          <w:pPr>
            <w:pStyle w:val="TOC1"/>
            <w:tabs>
              <w:tab w:val="right" w:leader="dot" w:pos="9350"/>
            </w:tabs>
            <w:rPr>
              <w:rFonts w:asciiTheme="minorHAnsi" w:eastAsiaTheme="minorEastAsia" w:hAnsiTheme="minorHAnsi" w:cstheme="minorBidi"/>
              <w:noProof/>
              <w:kern w:val="2"/>
              <w:lang/>
              <w14:ligatures w14:val="standardContextual"/>
            </w:rPr>
          </w:pPr>
          <w:hyperlink w:anchor="_Toc225776210" w:history="1">
            <w:r w:rsidRPr="00A447BA">
              <w:rPr>
                <w:rStyle w:val="Hyperlink"/>
                <w:b/>
                <w:bCs/>
                <w:noProof/>
              </w:rPr>
              <w:t>Total Implementation Cost</w:t>
            </w:r>
            <w:r>
              <w:rPr>
                <w:noProof/>
                <w:webHidden/>
              </w:rPr>
              <w:tab/>
            </w:r>
            <w:r>
              <w:rPr>
                <w:noProof/>
                <w:webHidden/>
              </w:rPr>
              <w:fldChar w:fldCharType="begin"/>
            </w:r>
            <w:r>
              <w:rPr>
                <w:noProof/>
                <w:webHidden/>
              </w:rPr>
              <w:instrText xml:space="preserve"> PAGEREF _Toc225776210 \h </w:instrText>
            </w:r>
            <w:r>
              <w:rPr>
                <w:noProof/>
                <w:webHidden/>
              </w:rPr>
            </w:r>
            <w:r>
              <w:rPr>
                <w:noProof/>
                <w:webHidden/>
              </w:rPr>
              <w:fldChar w:fldCharType="separate"/>
            </w:r>
            <w:r>
              <w:rPr>
                <w:noProof/>
                <w:webHidden/>
              </w:rPr>
              <w:t>35</w:t>
            </w:r>
            <w:r>
              <w:rPr>
                <w:noProof/>
                <w:webHidden/>
              </w:rPr>
              <w:fldChar w:fldCharType="end"/>
            </w:r>
          </w:hyperlink>
        </w:p>
        <w:p w14:paraId="475A0CC6" w14:textId="68DC4F55" w:rsidR="00AE3B3E" w:rsidRDefault="00AE3B3E">
          <w:pPr>
            <w:pStyle w:val="TOC1"/>
            <w:tabs>
              <w:tab w:val="right" w:leader="dot" w:pos="9350"/>
            </w:tabs>
            <w:rPr>
              <w:rFonts w:asciiTheme="minorHAnsi" w:eastAsiaTheme="minorEastAsia" w:hAnsiTheme="minorHAnsi" w:cstheme="minorBidi"/>
              <w:noProof/>
              <w:kern w:val="2"/>
              <w:lang/>
              <w14:ligatures w14:val="standardContextual"/>
            </w:rPr>
          </w:pPr>
          <w:hyperlink w:anchor="_Toc225776211" w:history="1">
            <w:r w:rsidRPr="00A447BA">
              <w:rPr>
                <w:rStyle w:val="Hyperlink"/>
                <w:b/>
                <w:bCs/>
                <w:noProof/>
              </w:rPr>
              <w:t>Details of the MSG during the Period</w:t>
            </w:r>
            <w:r>
              <w:rPr>
                <w:noProof/>
                <w:webHidden/>
              </w:rPr>
              <w:tab/>
            </w:r>
            <w:r>
              <w:rPr>
                <w:noProof/>
                <w:webHidden/>
              </w:rPr>
              <w:fldChar w:fldCharType="begin"/>
            </w:r>
            <w:r>
              <w:rPr>
                <w:noProof/>
                <w:webHidden/>
              </w:rPr>
              <w:instrText xml:space="preserve"> PAGEREF _Toc225776211 \h </w:instrText>
            </w:r>
            <w:r>
              <w:rPr>
                <w:noProof/>
                <w:webHidden/>
              </w:rPr>
            </w:r>
            <w:r>
              <w:rPr>
                <w:noProof/>
                <w:webHidden/>
              </w:rPr>
              <w:fldChar w:fldCharType="separate"/>
            </w:r>
            <w:r>
              <w:rPr>
                <w:noProof/>
                <w:webHidden/>
              </w:rPr>
              <w:t>36</w:t>
            </w:r>
            <w:r>
              <w:rPr>
                <w:noProof/>
                <w:webHidden/>
              </w:rPr>
              <w:fldChar w:fldCharType="end"/>
            </w:r>
          </w:hyperlink>
        </w:p>
        <w:p w14:paraId="4BDB5E9B" w14:textId="66DC6CC8" w:rsidR="00AE3B3E" w:rsidRDefault="00AE3B3E">
          <w:r>
            <w:rPr>
              <w:b/>
              <w:bCs/>
              <w:noProof/>
            </w:rPr>
            <w:fldChar w:fldCharType="end"/>
          </w:r>
        </w:p>
      </w:sdtContent>
    </w:sdt>
    <w:p w14:paraId="26B7105D" w14:textId="74571175" w:rsidR="007D2B17" w:rsidRDefault="007D2B17" w:rsidP="00B33093">
      <w:pPr>
        <w:spacing w:after="160" w:line="276" w:lineRule="auto"/>
        <w:rPr>
          <w:b/>
          <w:bCs/>
          <w:color w:val="2F5496"/>
          <w:sz w:val="22"/>
          <w:szCs w:val="22"/>
        </w:rPr>
      </w:pPr>
    </w:p>
    <w:p w14:paraId="4F19AE0F" w14:textId="45476D43" w:rsidR="00C40E52" w:rsidRPr="00AE3B3E" w:rsidRDefault="00AE3B3E" w:rsidP="00AE3B3E">
      <w:pPr>
        <w:spacing w:after="160" w:line="278" w:lineRule="auto"/>
        <w:rPr>
          <w:noProof/>
        </w:rPr>
      </w:pPr>
      <w:r>
        <w:rPr>
          <w:noProof/>
          <w:webHidden/>
        </w:rPr>
        <w:br w:type="page"/>
      </w:r>
    </w:p>
    <w:p w14:paraId="257B5570" w14:textId="5787A741" w:rsidR="00532AB8" w:rsidRPr="00076896" w:rsidRDefault="00532AB8" w:rsidP="00E2439E">
      <w:pPr>
        <w:pStyle w:val="Heading1"/>
        <w:shd w:val="clear" w:color="auto" w:fill="45B0E1" w:themeFill="accent1" w:themeFillTint="99"/>
        <w:spacing w:line="276" w:lineRule="auto"/>
        <w:rPr>
          <w:b/>
          <w:bCs/>
          <w:sz w:val="28"/>
          <w:szCs w:val="28"/>
        </w:rPr>
      </w:pPr>
      <w:bookmarkStart w:id="2" w:name="_Toc225776183"/>
      <w:r w:rsidRPr="00076896">
        <w:rPr>
          <w:b/>
          <w:bCs/>
          <w:sz w:val="28"/>
          <w:szCs w:val="28"/>
        </w:rPr>
        <w:lastRenderedPageBreak/>
        <w:t>Acronyms</w:t>
      </w:r>
      <w:bookmarkEnd w:id="2"/>
    </w:p>
    <w:tbl>
      <w:tblPr>
        <w:tblW w:w="7741" w:type="dxa"/>
        <w:tblInd w:w="-90" w:type="dxa"/>
        <w:tblLook w:val="04A0" w:firstRow="1" w:lastRow="0" w:firstColumn="1" w:lastColumn="0" w:noHBand="0" w:noVBand="1"/>
      </w:tblPr>
      <w:tblGrid>
        <w:gridCol w:w="1440"/>
        <w:gridCol w:w="6301"/>
      </w:tblGrid>
      <w:tr w:rsidR="00532AB8" w:rsidRPr="00F22EC0" w14:paraId="178649AF" w14:textId="77777777" w:rsidTr="00D0117E">
        <w:trPr>
          <w:trHeight w:val="284"/>
        </w:trPr>
        <w:tc>
          <w:tcPr>
            <w:tcW w:w="1440" w:type="dxa"/>
            <w:tcBorders>
              <w:top w:val="nil"/>
              <w:left w:val="nil"/>
              <w:bottom w:val="nil"/>
              <w:right w:val="nil"/>
            </w:tcBorders>
            <w:noWrap/>
            <w:vAlign w:val="bottom"/>
            <w:hideMark/>
          </w:tcPr>
          <w:p w14:paraId="0789803C" w14:textId="77777777" w:rsidR="00532AB8" w:rsidRPr="00F22EC0" w:rsidRDefault="00532AB8" w:rsidP="00B33093">
            <w:pPr>
              <w:spacing w:line="276" w:lineRule="auto"/>
              <w:rPr>
                <w:rFonts w:eastAsia="Calibri"/>
                <w:color w:val="000000"/>
                <w:sz w:val="22"/>
                <w:szCs w:val="22"/>
              </w:rPr>
            </w:pPr>
            <w:r w:rsidRPr="00F22EC0">
              <w:rPr>
                <w:rFonts w:eastAsia="Calibri"/>
                <w:color w:val="000000"/>
                <w:sz w:val="22"/>
                <w:szCs w:val="22"/>
              </w:rPr>
              <w:t>AG</w:t>
            </w:r>
          </w:p>
        </w:tc>
        <w:tc>
          <w:tcPr>
            <w:tcW w:w="6301" w:type="dxa"/>
            <w:tcBorders>
              <w:top w:val="nil"/>
              <w:left w:val="nil"/>
              <w:bottom w:val="nil"/>
              <w:right w:val="nil"/>
            </w:tcBorders>
            <w:noWrap/>
            <w:vAlign w:val="bottom"/>
            <w:hideMark/>
          </w:tcPr>
          <w:p w14:paraId="41092968" w14:textId="77777777" w:rsidR="00532AB8" w:rsidRPr="00F22EC0" w:rsidRDefault="00532AB8" w:rsidP="00B33093">
            <w:pPr>
              <w:spacing w:line="276" w:lineRule="auto"/>
              <w:rPr>
                <w:rFonts w:eastAsia="Calibri"/>
                <w:color w:val="000000"/>
                <w:sz w:val="22"/>
                <w:szCs w:val="22"/>
              </w:rPr>
            </w:pPr>
            <w:r w:rsidRPr="00F22EC0">
              <w:rPr>
                <w:rFonts w:eastAsia="Calibri"/>
                <w:color w:val="000000"/>
                <w:sz w:val="22"/>
                <w:szCs w:val="22"/>
              </w:rPr>
              <w:t>Auditor General</w:t>
            </w:r>
          </w:p>
        </w:tc>
      </w:tr>
      <w:tr w:rsidR="00532AB8" w:rsidRPr="00F22EC0" w14:paraId="0F705D1B" w14:textId="77777777" w:rsidTr="00D0117E">
        <w:trPr>
          <w:trHeight w:val="284"/>
        </w:trPr>
        <w:tc>
          <w:tcPr>
            <w:tcW w:w="1440" w:type="dxa"/>
            <w:tcBorders>
              <w:top w:val="nil"/>
              <w:left w:val="nil"/>
              <w:bottom w:val="nil"/>
              <w:right w:val="nil"/>
            </w:tcBorders>
            <w:noWrap/>
            <w:vAlign w:val="bottom"/>
            <w:hideMark/>
          </w:tcPr>
          <w:p w14:paraId="15C57C51" w14:textId="77777777" w:rsidR="00532AB8" w:rsidRPr="00F22EC0" w:rsidRDefault="00532AB8" w:rsidP="00B33093">
            <w:pPr>
              <w:spacing w:line="276" w:lineRule="auto"/>
              <w:rPr>
                <w:rFonts w:eastAsia="Calibri"/>
                <w:color w:val="000000"/>
                <w:sz w:val="22"/>
                <w:szCs w:val="22"/>
              </w:rPr>
            </w:pPr>
            <w:r w:rsidRPr="00F22EC0">
              <w:rPr>
                <w:rFonts w:eastAsia="Calibri"/>
                <w:color w:val="000000"/>
                <w:sz w:val="22"/>
                <w:szCs w:val="22"/>
              </w:rPr>
              <w:t>APR</w:t>
            </w:r>
          </w:p>
        </w:tc>
        <w:tc>
          <w:tcPr>
            <w:tcW w:w="6301" w:type="dxa"/>
            <w:tcBorders>
              <w:top w:val="nil"/>
              <w:left w:val="nil"/>
              <w:bottom w:val="nil"/>
              <w:right w:val="nil"/>
            </w:tcBorders>
            <w:noWrap/>
            <w:vAlign w:val="bottom"/>
            <w:hideMark/>
          </w:tcPr>
          <w:p w14:paraId="543EFCAD" w14:textId="77777777" w:rsidR="00532AB8" w:rsidRPr="00F22EC0" w:rsidRDefault="00532AB8" w:rsidP="00B33093">
            <w:pPr>
              <w:spacing w:line="276" w:lineRule="auto"/>
              <w:rPr>
                <w:rFonts w:eastAsia="Calibri"/>
                <w:color w:val="000000"/>
                <w:sz w:val="22"/>
                <w:szCs w:val="22"/>
              </w:rPr>
            </w:pPr>
            <w:r w:rsidRPr="00F22EC0">
              <w:rPr>
                <w:rFonts w:eastAsia="Calibri"/>
                <w:color w:val="000000"/>
                <w:sz w:val="22"/>
                <w:szCs w:val="22"/>
              </w:rPr>
              <w:t>Annual Progress Review</w:t>
            </w:r>
          </w:p>
        </w:tc>
      </w:tr>
      <w:tr w:rsidR="00532AB8" w:rsidRPr="00F22EC0" w14:paraId="1577E53A" w14:textId="77777777" w:rsidTr="00D0117E">
        <w:trPr>
          <w:trHeight w:val="284"/>
        </w:trPr>
        <w:tc>
          <w:tcPr>
            <w:tcW w:w="1440" w:type="dxa"/>
            <w:tcBorders>
              <w:top w:val="nil"/>
              <w:left w:val="nil"/>
              <w:bottom w:val="nil"/>
              <w:right w:val="nil"/>
            </w:tcBorders>
            <w:noWrap/>
            <w:vAlign w:val="bottom"/>
            <w:hideMark/>
          </w:tcPr>
          <w:p w14:paraId="64B089A2" w14:textId="77777777" w:rsidR="00532AB8" w:rsidRPr="00F22EC0" w:rsidRDefault="00532AB8" w:rsidP="00B33093">
            <w:pPr>
              <w:spacing w:line="276" w:lineRule="auto"/>
              <w:rPr>
                <w:rFonts w:eastAsia="Calibri"/>
                <w:color w:val="000000"/>
                <w:sz w:val="22"/>
                <w:szCs w:val="22"/>
              </w:rPr>
            </w:pPr>
            <w:r w:rsidRPr="00F22EC0">
              <w:rPr>
                <w:rFonts w:eastAsia="Calibri"/>
                <w:color w:val="000000"/>
                <w:sz w:val="22"/>
                <w:szCs w:val="22"/>
              </w:rPr>
              <w:t>BO</w:t>
            </w:r>
          </w:p>
        </w:tc>
        <w:tc>
          <w:tcPr>
            <w:tcW w:w="6301" w:type="dxa"/>
            <w:tcBorders>
              <w:top w:val="nil"/>
              <w:left w:val="nil"/>
              <w:bottom w:val="nil"/>
              <w:right w:val="nil"/>
            </w:tcBorders>
            <w:noWrap/>
            <w:vAlign w:val="bottom"/>
            <w:hideMark/>
          </w:tcPr>
          <w:p w14:paraId="639CE7DD" w14:textId="77777777" w:rsidR="00532AB8" w:rsidRPr="00F22EC0" w:rsidRDefault="00532AB8" w:rsidP="00B33093">
            <w:pPr>
              <w:spacing w:line="276" w:lineRule="auto"/>
              <w:rPr>
                <w:rFonts w:eastAsia="Calibri"/>
                <w:color w:val="000000"/>
                <w:sz w:val="22"/>
                <w:szCs w:val="22"/>
              </w:rPr>
            </w:pPr>
            <w:r w:rsidRPr="00F22EC0">
              <w:rPr>
                <w:rFonts w:eastAsia="Calibri"/>
                <w:color w:val="000000"/>
                <w:sz w:val="22"/>
                <w:szCs w:val="22"/>
              </w:rPr>
              <w:t>Beneficial Ownership</w:t>
            </w:r>
          </w:p>
        </w:tc>
      </w:tr>
      <w:tr w:rsidR="00532AB8" w:rsidRPr="00F22EC0" w14:paraId="7AAE70E6" w14:textId="77777777" w:rsidTr="00D0117E">
        <w:trPr>
          <w:trHeight w:val="284"/>
        </w:trPr>
        <w:tc>
          <w:tcPr>
            <w:tcW w:w="1440" w:type="dxa"/>
            <w:tcBorders>
              <w:top w:val="nil"/>
              <w:left w:val="nil"/>
              <w:bottom w:val="nil"/>
              <w:right w:val="nil"/>
            </w:tcBorders>
            <w:noWrap/>
            <w:vAlign w:val="bottom"/>
            <w:hideMark/>
          </w:tcPr>
          <w:p w14:paraId="33A190AD" w14:textId="77777777" w:rsidR="00532AB8" w:rsidRPr="00F22EC0" w:rsidRDefault="00532AB8" w:rsidP="00B33093">
            <w:pPr>
              <w:spacing w:line="276" w:lineRule="auto"/>
              <w:rPr>
                <w:rFonts w:eastAsia="Calibri"/>
                <w:color w:val="000000"/>
                <w:sz w:val="22"/>
                <w:szCs w:val="22"/>
              </w:rPr>
            </w:pPr>
            <w:r w:rsidRPr="00F22EC0">
              <w:rPr>
                <w:rFonts w:eastAsia="Calibri"/>
                <w:color w:val="000000"/>
                <w:sz w:val="22"/>
                <w:szCs w:val="22"/>
              </w:rPr>
              <w:t>CSO</w:t>
            </w:r>
          </w:p>
        </w:tc>
        <w:tc>
          <w:tcPr>
            <w:tcW w:w="6301" w:type="dxa"/>
            <w:tcBorders>
              <w:top w:val="nil"/>
              <w:left w:val="nil"/>
              <w:bottom w:val="nil"/>
              <w:right w:val="nil"/>
            </w:tcBorders>
            <w:noWrap/>
            <w:vAlign w:val="bottom"/>
            <w:hideMark/>
          </w:tcPr>
          <w:p w14:paraId="583815F0" w14:textId="77777777" w:rsidR="00532AB8" w:rsidRPr="00F22EC0" w:rsidRDefault="00532AB8" w:rsidP="00B33093">
            <w:pPr>
              <w:spacing w:line="276" w:lineRule="auto"/>
              <w:rPr>
                <w:rFonts w:eastAsia="Calibri"/>
                <w:color w:val="000000"/>
                <w:sz w:val="22"/>
                <w:szCs w:val="22"/>
              </w:rPr>
            </w:pPr>
            <w:r w:rsidRPr="00F22EC0">
              <w:rPr>
                <w:rFonts w:eastAsia="Calibri"/>
                <w:color w:val="000000"/>
                <w:sz w:val="22"/>
                <w:szCs w:val="22"/>
              </w:rPr>
              <w:t>Civil Society Organization</w:t>
            </w:r>
          </w:p>
        </w:tc>
      </w:tr>
      <w:tr w:rsidR="00532AB8" w:rsidRPr="00F22EC0" w14:paraId="22FA1A91" w14:textId="77777777" w:rsidTr="00D0117E">
        <w:trPr>
          <w:trHeight w:val="284"/>
        </w:trPr>
        <w:tc>
          <w:tcPr>
            <w:tcW w:w="1440" w:type="dxa"/>
            <w:tcBorders>
              <w:top w:val="nil"/>
              <w:left w:val="nil"/>
              <w:bottom w:val="nil"/>
              <w:right w:val="nil"/>
            </w:tcBorders>
            <w:noWrap/>
            <w:vAlign w:val="bottom"/>
            <w:hideMark/>
          </w:tcPr>
          <w:p w14:paraId="112E2A28" w14:textId="77777777" w:rsidR="00532AB8" w:rsidRPr="00F22EC0" w:rsidRDefault="00532AB8" w:rsidP="00B33093">
            <w:pPr>
              <w:spacing w:line="276" w:lineRule="auto"/>
              <w:rPr>
                <w:rFonts w:eastAsia="Calibri"/>
                <w:color w:val="000000"/>
                <w:sz w:val="22"/>
                <w:szCs w:val="22"/>
              </w:rPr>
            </w:pPr>
            <w:r w:rsidRPr="00F22EC0">
              <w:rPr>
                <w:rFonts w:eastAsia="Calibri"/>
                <w:color w:val="000000"/>
                <w:sz w:val="22"/>
                <w:szCs w:val="22"/>
              </w:rPr>
              <w:t>EITI</w:t>
            </w:r>
          </w:p>
        </w:tc>
        <w:tc>
          <w:tcPr>
            <w:tcW w:w="6301" w:type="dxa"/>
            <w:tcBorders>
              <w:top w:val="nil"/>
              <w:left w:val="nil"/>
              <w:bottom w:val="nil"/>
              <w:right w:val="nil"/>
            </w:tcBorders>
            <w:noWrap/>
            <w:vAlign w:val="bottom"/>
            <w:hideMark/>
          </w:tcPr>
          <w:p w14:paraId="33140B16" w14:textId="77777777" w:rsidR="00532AB8" w:rsidRPr="00F22EC0" w:rsidRDefault="00532AB8" w:rsidP="00B33093">
            <w:pPr>
              <w:spacing w:line="276" w:lineRule="auto"/>
              <w:rPr>
                <w:rFonts w:eastAsia="Calibri"/>
                <w:color w:val="000000"/>
                <w:sz w:val="22"/>
                <w:szCs w:val="22"/>
              </w:rPr>
            </w:pPr>
            <w:r w:rsidRPr="00F22EC0">
              <w:rPr>
                <w:rFonts w:eastAsia="Calibri"/>
                <w:color w:val="000000"/>
                <w:sz w:val="22"/>
                <w:szCs w:val="22"/>
              </w:rPr>
              <w:t>Extractive Industries Transparency Initiative</w:t>
            </w:r>
          </w:p>
        </w:tc>
      </w:tr>
      <w:tr w:rsidR="00532AB8" w:rsidRPr="00F22EC0" w14:paraId="058E6FFC" w14:textId="77777777" w:rsidTr="00D0117E">
        <w:trPr>
          <w:trHeight w:val="284"/>
        </w:trPr>
        <w:tc>
          <w:tcPr>
            <w:tcW w:w="1440" w:type="dxa"/>
            <w:tcBorders>
              <w:top w:val="nil"/>
              <w:left w:val="nil"/>
              <w:bottom w:val="nil"/>
              <w:right w:val="nil"/>
            </w:tcBorders>
            <w:noWrap/>
            <w:vAlign w:val="bottom"/>
            <w:hideMark/>
          </w:tcPr>
          <w:p w14:paraId="6FDA02C4" w14:textId="77777777" w:rsidR="00532AB8" w:rsidRPr="00F22EC0" w:rsidRDefault="00532AB8" w:rsidP="00B33093">
            <w:pPr>
              <w:spacing w:line="276" w:lineRule="auto"/>
              <w:rPr>
                <w:rFonts w:eastAsia="Calibri"/>
                <w:color w:val="000000"/>
                <w:sz w:val="22"/>
                <w:szCs w:val="22"/>
              </w:rPr>
            </w:pPr>
            <w:r w:rsidRPr="00F22EC0">
              <w:rPr>
                <w:rFonts w:eastAsia="Calibri"/>
                <w:color w:val="000000"/>
                <w:sz w:val="22"/>
                <w:szCs w:val="22"/>
              </w:rPr>
              <w:t>FY</w:t>
            </w:r>
          </w:p>
        </w:tc>
        <w:tc>
          <w:tcPr>
            <w:tcW w:w="6301" w:type="dxa"/>
            <w:tcBorders>
              <w:top w:val="nil"/>
              <w:left w:val="nil"/>
              <w:bottom w:val="nil"/>
              <w:right w:val="nil"/>
            </w:tcBorders>
            <w:noWrap/>
            <w:vAlign w:val="bottom"/>
            <w:hideMark/>
          </w:tcPr>
          <w:p w14:paraId="19A90E18" w14:textId="77777777" w:rsidR="00532AB8" w:rsidRPr="00F22EC0" w:rsidRDefault="00532AB8" w:rsidP="00B33093">
            <w:pPr>
              <w:spacing w:line="276" w:lineRule="auto"/>
              <w:rPr>
                <w:rFonts w:eastAsia="Calibri"/>
                <w:color w:val="000000"/>
                <w:sz w:val="22"/>
                <w:szCs w:val="22"/>
              </w:rPr>
            </w:pPr>
            <w:r w:rsidRPr="00F22EC0">
              <w:rPr>
                <w:rFonts w:eastAsia="Calibri"/>
                <w:color w:val="000000"/>
                <w:sz w:val="22"/>
                <w:szCs w:val="22"/>
              </w:rPr>
              <w:t>Fiscal Year</w:t>
            </w:r>
          </w:p>
        </w:tc>
      </w:tr>
      <w:tr w:rsidR="00532AB8" w:rsidRPr="00F22EC0" w14:paraId="54BBDBE3" w14:textId="77777777" w:rsidTr="00D0117E">
        <w:trPr>
          <w:trHeight w:val="284"/>
        </w:trPr>
        <w:tc>
          <w:tcPr>
            <w:tcW w:w="1440" w:type="dxa"/>
            <w:tcBorders>
              <w:top w:val="nil"/>
              <w:left w:val="nil"/>
              <w:bottom w:val="nil"/>
              <w:right w:val="nil"/>
            </w:tcBorders>
            <w:noWrap/>
            <w:vAlign w:val="bottom"/>
            <w:hideMark/>
          </w:tcPr>
          <w:p w14:paraId="446AD20A" w14:textId="77777777" w:rsidR="00532AB8" w:rsidRPr="00F22EC0" w:rsidRDefault="00532AB8" w:rsidP="00B33093">
            <w:pPr>
              <w:spacing w:line="276" w:lineRule="auto"/>
              <w:rPr>
                <w:rFonts w:eastAsia="Calibri"/>
                <w:color w:val="000000"/>
                <w:sz w:val="22"/>
                <w:szCs w:val="22"/>
              </w:rPr>
            </w:pPr>
            <w:r w:rsidRPr="00F22EC0">
              <w:rPr>
                <w:rFonts w:eastAsia="Calibri"/>
                <w:color w:val="000000"/>
                <w:sz w:val="22"/>
                <w:szCs w:val="22"/>
              </w:rPr>
              <w:t>GDP</w:t>
            </w:r>
          </w:p>
        </w:tc>
        <w:tc>
          <w:tcPr>
            <w:tcW w:w="6301" w:type="dxa"/>
            <w:tcBorders>
              <w:top w:val="nil"/>
              <w:left w:val="nil"/>
              <w:bottom w:val="nil"/>
              <w:right w:val="nil"/>
            </w:tcBorders>
            <w:noWrap/>
            <w:vAlign w:val="bottom"/>
            <w:hideMark/>
          </w:tcPr>
          <w:p w14:paraId="5108AC03" w14:textId="77777777" w:rsidR="00532AB8" w:rsidRPr="00F22EC0" w:rsidRDefault="00532AB8" w:rsidP="00B33093">
            <w:pPr>
              <w:spacing w:line="276" w:lineRule="auto"/>
              <w:rPr>
                <w:rFonts w:eastAsia="Calibri"/>
                <w:color w:val="000000"/>
                <w:sz w:val="22"/>
                <w:szCs w:val="22"/>
              </w:rPr>
            </w:pPr>
            <w:r w:rsidRPr="00F22EC0">
              <w:rPr>
                <w:rFonts w:eastAsia="Calibri"/>
                <w:color w:val="000000"/>
                <w:sz w:val="22"/>
                <w:szCs w:val="22"/>
              </w:rPr>
              <w:t>Gross Domestic Product</w:t>
            </w:r>
          </w:p>
        </w:tc>
      </w:tr>
      <w:tr w:rsidR="00532AB8" w:rsidRPr="00F22EC0" w14:paraId="39675B8D" w14:textId="77777777" w:rsidTr="00D0117E">
        <w:trPr>
          <w:trHeight w:val="284"/>
        </w:trPr>
        <w:tc>
          <w:tcPr>
            <w:tcW w:w="1440" w:type="dxa"/>
            <w:tcBorders>
              <w:top w:val="nil"/>
              <w:left w:val="nil"/>
              <w:bottom w:val="nil"/>
              <w:right w:val="nil"/>
            </w:tcBorders>
            <w:noWrap/>
            <w:vAlign w:val="bottom"/>
            <w:hideMark/>
          </w:tcPr>
          <w:p w14:paraId="45EF636A" w14:textId="77777777" w:rsidR="00532AB8" w:rsidRPr="00F22EC0" w:rsidRDefault="00532AB8" w:rsidP="00B33093">
            <w:pPr>
              <w:spacing w:line="276" w:lineRule="auto"/>
              <w:rPr>
                <w:rFonts w:eastAsia="Calibri"/>
                <w:color w:val="000000"/>
                <w:sz w:val="22"/>
                <w:szCs w:val="22"/>
              </w:rPr>
            </w:pPr>
            <w:r w:rsidRPr="00F22EC0">
              <w:rPr>
                <w:rFonts w:eastAsia="Calibri"/>
                <w:color w:val="000000"/>
                <w:sz w:val="22"/>
                <w:szCs w:val="22"/>
              </w:rPr>
              <w:t>GoG</w:t>
            </w:r>
          </w:p>
        </w:tc>
        <w:tc>
          <w:tcPr>
            <w:tcW w:w="6301" w:type="dxa"/>
            <w:tcBorders>
              <w:top w:val="nil"/>
              <w:left w:val="nil"/>
              <w:bottom w:val="nil"/>
              <w:right w:val="nil"/>
            </w:tcBorders>
            <w:noWrap/>
            <w:vAlign w:val="bottom"/>
            <w:hideMark/>
          </w:tcPr>
          <w:p w14:paraId="0BC5AC15" w14:textId="77777777" w:rsidR="00532AB8" w:rsidRPr="00F22EC0" w:rsidRDefault="00532AB8" w:rsidP="00B33093">
            <w:pPr>
              <w:spacing w:line="276" w:lineRule="auto"/>
              <w:rPr>
                <w:rFonts w:eastAsia="Calibri"/>
                <w:color w:val="000000"/>
                <w:sz w:val="22"/>
                <w:szCs w:val="22"/>
              </w:rPr>
            </w:pPr>
            <w:r w:rsidRPr="00F22EC0">
              <w:rPr>
                <w:rFonts w:eastAsia="Calibri"/>
                <w:color w:val="000000"/>
                <w:sz w:val="22"/>
                <w:szCs w:val="22"/>
              </w:rPr>
              <w:t>Government of Guyana</w:t>
            </w:r>
          </w:p>
        </w:tc>
      </w:tr>
      <w:tr w:rsidR="00532AB8" w:rsidRPr="00F22EC0" w14:paraId="3492EE91" w14:textId="77777777" w:rsidTr="00D0117E">
        <w:trPr>
          <w:trHeight w:val="284"/>
        </w:trPr>
        <w:tc>
          <w:tcPr>
            <w:tcW w:w="1440" w:type="dxa"/>
            <w:tcBorders>
              <w:top w:val="nil"/>
              <w:left w:val="nil"/>
              <w:bottom w:val="nil"/>
              <w:right w:val="nil"/>
            </w:tcBorders>
            <w:noWrap/>
            <w:vAlign w:val="bottom"/>
            <w:hideMark/>
          </w:tcPr>
          <w:p w14:paraId="4D2FF35C" w14:textId="77777777" w:rsidR="00532AB8" w:rsidRPr="00F22EC0" w:rsidRDefault="00532AB8" w:rsidP="00B33093">
            <w:pPr>
              <w:spacing w:line="276" w:lineRule="auto"/>
              <w:rPr>
                <w:rFonts w:eastAsia="Calibri"/>
                <w:color w:val="000000"/>
                <w:sz w:val="22"/>
                <w:szCs w:val="22"/>
              </w:rPr>
            </w:pPr>
            <w:r w:rsidRPr="00F22EC0">
              <w:rPr>
                <w:rFonts w:eastAsia="Calibri"/>
                <w:color w:val="000000"/>
                <w:sz w:val="22"/>
                <w:szCs w:val="22"/>
              </w:rPr>
              <w:t>GYD</w:t>
            </w:r>
          </w:p>
        </w:tc>
        <w:tc>
          <w:tcPr>
            <w:tcW w:w="6301" w:type="dxa"/>
            <w:tcBorders>
              <w:top w:val="nil"/>
              <w:left w:val="nil"/>
              <w:bottom w:val="nil"/>
              <w:right w:val="nil"/>
            </w:tcBorders>
            <w:noWrap/>
            <w:vAlign w:val="bottom"/>
            <w:hideMark/>
          </w:tcPr>
          <w:p w14:paraId="4397E0AC" w14:textId="77777777" w:rsidR="00532AB8" w:rsidRPr="00F22EC0" w:rsidRDefault="00532AB8" w:rsidP="00B33093">
            <w:pPr>
              <w:spacing w:line="276" w:lineRule="auto"/>
              <w:rPr>
                <w:rFonts w:eastAsia="Calibri"/>
                <w:color w:val="000000"/>
                <w:sz w:val="22"/>
                <w:szCs w:val="22"/>
              </w:rPr>
            </w:pPr>
            <w:r w:rsidRPr="00F22EC0">
              <w:rPr>
                <w:rFonts w:eastAsia="Calibri"/>
                <w:color w:val="000000"/>
                <w:sz w:val="22"/>
                <w:szCs w:val="22"/>
              </w:rPr>
              <w:t>Guyanese Dollar</w:t>
            </w:r>
          </w:p>
        </w:tc>
      </w:tr>
      <w:tr w:rsidR="00532AB8" w:rsidRPr="00F22EC0" w14:paraId="500FD52A" w14:textId="77777777" w:rsidTr="00D0117E">
        <w:trPr>
          <w:trHeight w:val="284"/>
        </w:trPr>
        <w:tc>
          <w:tcPr>
            <w:tcW w:w="1440" w:type="dxa"/>
            <w:tcBorders>
              <w:top w:val="nil"/>
              <w:left w:val="nil"/>
              <w:bottom w:val="nil"/>
              <w:right w:val="nil"/>
            </w:tcBorders>
            <w:noWrap/>
            <w:vAlign w:val="bottom"/>
            <w:hideMark/>
          </w:tcPr>
          <w:p w14:paraId="03D7007A" w14:textId="77777777" w:rsidR="00532AB8" w:rsidRPr="00F22EC0" w:rsidRDefault="00532AB8" w:rsidP="00B33093">
            <w:pPr>
              <w:spacing w:line="276" w:lineRule="auto"/>
              <w:rPr>
                <w:rFonts w:eastAsia="Calibri"/>
                <w:color w:val="000000"/>
                <w:sz w:val="22"/>
                <w:szCs w:val="22"/>
              </w:rPr>
            </w:pPr>
            <w:r w:rsidRPr="00F22EC0">
              <w:rPr>
                <w:rFonts w:eastAsia="Calibri"/>
                <w:color w:val="000000"/>
                <w:sz w:val="22"/>
                <w:szCs w:val="22"/>
              </w:rPr>
              <w:t>GYEITI</w:t>
            </w:r>
          </w:p>
        </w:tc>
        <w:tc>
          <w:tcPr>
            <w:tcW w:w="6301" w:type="dxa"/>
            <w:tcBorders>
              <w:top w:val="nil"/>
              <w:left w:val="nil"/>
              <w:bottom w:val="nil"/>
              <w:right w:val="nil"/>
            </w:tcBorders>
            <w:noWrap/>
            <w:vAlign w:val="bottom"/>
            <w:hideMark/>
          </w:tcPr>
          <w:p w14:paraId="6A3A0CF4" w14:textId="77777777" w:rsidR="00532AB8" w:rsidRPr="00F22EC0" w:rsidRDefault="00532AB8" w:rsidP="00B33093">
            <w:pPr>
              <w:spacing w:line="276" w:lineRule="auto"/>
              <w:rPr>
                <w:rFonts w:eastAsia="Calibri"/>
                <w:color w:val="000000"/>
                <w:sz w:val="22"/>
                <w:szCs w:val="22"/>
              </w:rPr>
            </w:pPr>
            <w:r w:rsidRPr="00F22EC0">
              <w:rPr>
                <w:rFonts w:eastAsia="Calibri"/>
                <w:color w:val="000000"/>
                <w:sz w:val="22"/>
                <w:szCs w:val="22"/>
              </w:rPr>
              <w:t>Guyana Extractive Industries Transparency Initiative</w:t>
            </w:r>
          </w:p>
        </w:tc>
      </w:tr>
      <w:tr w:rsidR="00532AB8" w:rsidRPr="00F22EC0" w14:paraId="1B5A9BBF" w14:textId="77777777" w:rsidTr="00D0117E">
        <w:trPr>
          <w:trHeight w:val="284"/>
        </w:trPr>
        <w:tc>
          <w:tcPr>
            <w:tcW w:w="1440" w:type="dxa"/>
            <w:tcBorders>
              <w:top w:val="nil"/>
              <w:left w:val="nil"/>
              <w:bottom w:val="nil"/>
              <w:right w:val="nil"/>
            </w:tcBorders>
            <w:noWrap/>
            <w:vAlign w:val="bottom"/>
            <w:hideMark/>
          </w:tcPr>
          <w:p w14:paraId="0A719503" w14:textId="77777777" w:rsidR="00532AB8" w:rsidRPr="00F22EC0" w:rsidRDefault="00532AB8" w:rsidP="00B33093">
            <w:pPr>
              <w:spacing w:line="276" w:lineRule="auto"/>
              <w:rPr>
                <w:rFonts w:eastAsia="Calibri"/>
                <w:color w:val="000000"/>
                <w:sz w:val="22"/>
                <w:szCs w:val="22"/>
              </w:rPr>
            </w:pPr>
            <w:r w:rsidRPr="00F22EC0">
              <w:rPr>
                <w:rFonts w:eastAsia="Calibri"/>
                <w:color w:val="000000"/>
                <w:sz w:val="22"/>
                <w:szCs w:val="22"/>
              </w:rPr>
              <w:t>IA</w:t>
            </w:r>
          </w:p>
        </w:tc>
        <w:tc>
          <w:tcPr>
            <w:tcW w:w="6301" w:type="dxa"/>
            <w:tcBorders>
              <w:top w:val="nil"/>
              <w:left w:val="nil"/>
              <w:bottom w:val="nil"/>
              <w:right w:val="nil"/>
            </w:tcBorders>
            <w:noWrap/>
            <w:vAlign w:val="bottom"/>
            <w:hideMark/>
          </w:tcPr>
          <w:p w14:paraId="426E4505" w14:textId="77777777" w:rsidR="00532AB8" w:rsidRPr="00F22EC0" w:rsidRDefault="00532AB8" w:rsidP="00B33093">
            <w:pPr>
              <w:spacing w:line="276" w:lineRule="auto"/>
              <w:rPr>
                <w:rFonts w:eastAsia="Calibri"/>
                <w:color w:val="000000"/>
                <w:sz w:val="22"/>
                <w:szCs w:val="22"/>
              </w:rPr>
            </w:pPr>
            <w:r w:rsidRPr="00F22EC0">
              <w:rPr>
                <w:rFonts w:eastAsia="Calibri"/>
                <w:color w:val="000000"/>
                <w:sz w:val="22"/>
                <w:szCs w:val="22"/>
              </w:rPr>
              <w:t>Independent Administrator</w:t>
            </w:r>
          </w:p>
        </w:tc>
      </w:tr>
      <w:tr w:rsidR="00532AB8" w:rsidRPr="00F22EC0" w14:paraId="2C6B78AF" w14:textId="77777777" w:rsidTr="00D0117E">
        <w:trPr>
          <w:trHeight w:val="284"/>
        </w:trPr>
        <w:tc>
          <w:tcPr>
            <w:tcW w:w="1440" w:type="dxa"/>
            <w:tcBorders>
              <w:top w:val="nil"/>
              <w:left w:val="nil"/>
              <w:bottom w:val="nil"/>
              <w:right w:val="nil"/>
            </w:tcBorders>
            <w:noWrap/>
            <w:vAlign w:val="bottom"/>
            <w:hideMark/>
          </w:tcPr>
          <w:p w14:paraId="7E15BA6F" w14:textId="77777777" w:rsidR="00532AB8" w:rsidRPr="00F22EC0" w:rsidRDefault="00532AB8" w:rsidP="00B33093">
            <w:pPr>
              <w:spacing w:line="276" w:lineRule="auto"/>
              <w:rPr>
                <w:rFonts w:eastAsia="Calibri"/>
                <w:color w:val="000000"/>
                <w:sz w:val="22"/>
                <w:szCs w:val="22"/>
              </w:rPr>
            </w:pPr>
            <w:r w:rsidRPr="00F22EC0">
              <w:rPr>
                <w:rFonts w:eastAsia="Calibri"/>
                <w:color w:val="000000"/>
                <w:sz w:val="22"/>
                <w:szCs w:val="22"/>
              </w:rPr>
              <w:t>MNR</w:t>
            </w:r>
          </w:p>
        </w:tc>
        <w:tc>
          <w:tcPr>
            <w:tcW w:w="6301" w:type="dxa"/>
            <w:tcBorders>
              <w:top w:val="nil"/>
              <w:left w:val="nil"/>
              <w:bottom w:val="nil"/>
              <w:right w:val="nil"/>
            </w:tcBorders>
            <w:noWrap/>
            <w:vAlign w:val="bottom"/>
            <w:hideMark/>
          </w:tcPr>
          <w:p w14:paraId="229E428A" w14:textId="77777777" w:rsidR="00532AB8" w:rsidRPr="00F22EC0" w:rsidRDefault="00532AB8" w:rsidP="00B33093">
            <w:pPr>
              <w:spacing w:line="276" w:lineRule="auto"/>
              <w:rPr>
                <w:rFonts w:eastAsia="Calibri"/>
                <w:color w:val="000000"/>
                <w:sz w:val="22"/>
                <w:szCs w:val="22"/>
              </w:rPr>
            </w:pPr>
            <w:r w:rsidRPr="00F22EC0">
              <w:rPr>
                <w:rFonts w:eastAsia="Calibri"/>
                <w:color w:val="000000"/>
                <w:sz w:val="22"/>
                <w:szCs w:val="22"/>
              </w:rPr>
              <w:t>Ministry of Natural Resources</w:t>
            </w:r>
          </w:p>
        </w:tc>
      </w:tr>
      <w:tr w:rsidR="00532AB8" w:rsidRPr="00F22EC0" w14:paraId="65157452" w14:textId="77777777" w:rsidTr="00D0117E">
        <w:trPr>
          <w:trHeight w:val="284"/>
        </w:trPr>
        <w:tc>
          <w:tcPr>
            <w:tcW w:w="1440" w:type="dxa"/>
            <w:tcBorders>
              <w:top w:val="nil"/>
              <w:left w:val="nil"/>
              <w:bottom w:val="nil"/>
              <w:right w:val="nil"/>
            </w:tcBorders>
            <w:noWrap/>
            <w:vAlign w:val="bottom"/>
            <w:hideMark/>
          </w:tcPr>
          <w:p w14:paraId="32018F2B" w14:textId="77777777" w:rsidR="00532AB8" w:rsidRPr="00F22EC0" w:rsidRDefault="00532AB8" w:rsidP="00B33093">
            <w:pPr>
              <w:spacing w:line="276" w:lineRule="auto"/>
              <w:rPr>
                <w:rFonts w:eastAsia="Calibri"/>
                <w:color w:val="000000"/>
                <w:sz w:val="22"/>
                <w:szCs w:val="22"/>
              </w:rPr>
            </w:pPr>
            <w:r w:rsidRPr="00F22EC0">
              <w:rPr>
                <w:rFonts w:eastAsia="Calibri"/>
                <w:color w:val="000000"/>
                <w:sz w:val="22"/>
                <w:szCs w:val="22"/>
              </w:rPr>
              <w:t>MSG</w:t>
            </w:r>
          </w:p>
        </w:tc>
        <w:tc>
          <w:tcPr>
            <w:tcW w:w="6301" w:type="dxa"/>
            <w:tcBorders>
              <w:top w:val="nil"/>
              <w:left w:val="nil"/>
              <w:bottom w:val="nil"/>
              <w:right w:val="nil"/>
            </w:tcBorders>
            <w:noWrap/>
            <w:vAlign w:val="bottom"/>
            <w:hideMark/>
          </w:tcPr>
          <w:p w14:paraId="00DE23F1" w14:textId="77777777" w:rsidR="00532AB8" w:rsidRPr="00F22EC0" w:rsidRDefault="00532AB8" w:rsidP="00B33093">
            <w:pPr>
              <w:spacing w:line="276" w:lineRule="auto"/>
              <w:rPr>
                <w:rFonts w:eastAsia="Calibri"/>
                <w:color w:val="000000"/>
                <w:sz w:val="22"/>
                <w:szCs w:val="22"/>
              </w:rPr>
            </w:pPr>
            <w:r w:rsidRPr="00F22EC0">
              <w:rPr>
                <w:rFonts w:eastAsia="Calibri"/>
                <w:color w:val="000000"/>
                <w:sz w:val="22"/>
                <w:szCs w:val="22"/>
              </w:rPr>
              <w:t>Multi Stakeholder Group</w:t>
            </w:r>
          </w:p>
        </w:tc>
      </w:tr>
      <w:tr w:rsidR="00532AB8" w:rsidRPr="00F22EC0" w14:paraId="31F4C2A0" w14:textId="77777777" w:rsidTr="00D0117E">
        <w:trPr>
          <w:trHeight w:val="284"/>
        </w:trPr>
        <w:tc>
          <w:tcPr>
            <w:tcW w:w="1440" w:type="dxa"/>
            <w:tcBorders>
              <w:top w:val="nil"/>
              <w:left w:val="nil"/>
              <w:bottom w:val="nil"/>
              <w:right w:val="nil"/>
            </w:tcBorders>
            <w:noWrap/>
            <w:vAlign w:val="bottom"/>
            <w:hideMark/>
          </w:tcPr>
          <w:p w14:paraId="031C483C" w14:textId="77777777" w:rsidR="00532AB8" w:rsidRPr="00F22EC0" w:rsidRDefault="00532AB8" w:rsidP="00B33093">
            <w:pPr>
              <w:spacing w:line="276" w:lineRule="auto"/>
              <w:rPr>
                <w:rFonts w:eastAsia="Calibri"/>
                <w:color w:val="000000"/>
                <w:sz w:val="22"/>
                <w:szCs w:val="22"/>
              </w:rPr>
            </w:pPr>
            <w:r w:rsidRPr="00F22EC0">
              <w:rPr>
                <w:rFonts w:eastAsia="Calibri"/>
                <w:color w:val="000000"/>
                <w:sz w:val="22"/>
                <w:szCs w:val="22"/>
              </w:rPr>
              <w:t>NPTAB</w:t>
            </w:r>
          </w:p>
        </w:tc>
        <w:tc>
          <w:tcPr>
            <w:tcW w:w="6301" w:type="dxa"/>
            <w:tcBorders>
              <w:top w:val="nil"/>
              <w:left w:val="nil"/>
              <w:bottom w:val="nil"/>
              <w:right w:val="nil"/>
            </w:tcBorders>
            <w:noWrap/>
            <w:vAlign w:val="bottom"/>
            <w:hideMark/>
          </w:tcPr>
          <w:p w14:paraId="6F0BC796" w14:textId="77777777" w:rsidR="00532AB8" w:rsidRPr="00F22EC0" w:rsidRDefault="00532AB8" w:rsidP="00B33093">
            <w:pPr>
              <w:spacing w:line="276" w:lineRule="auto"/>
              <w:rPr>
                <w:rFonts w:eastAsia="Calibri"/>
                <w:color w:val="000000"/>
                <w:sz w:val="22"/>
                <w:szCs w:val="22"/>
              </w:rPr>
            </w:pPr>
            <w:r w:rsidRPr="00F22EC0">
              <w:rPr>
                <w:rFonts w:eastAsia="Calibri"/>
                <w:color w:val="000000"/>
                <w:sz w:val="22"/>
                <w:szCs w:val="22"/>
              </w:rPr>
              <w:t>National Procurement Tender Administrative Board</w:t>
            </w:r>
          </w:p>
        </w:tc>
      </w:tr>
      <w:tr w:rsidR="00532AB8" w:rsidRPr="00F22EC0" w14:paraId="799CB616" w14:textId="77777777" w:rsidTr="00D0117E">
        <w:trPr>
          <w:trHeight w:val="284"/>
        </w:trPr>
        <w:tc>
          <w:tcPr>
            <w:tcW w:w="1440" w:type="dxa"/>
            <w:tcBorders>
              <w:top w:val="nil"/>
              <w:left w:val="nil"/>
              <w:bottom w:val="nil"/>
              <w:right w:val="nil"/>
            </w:tcBorders>
            <w:noWrap/>
            <w:vAlign w:val="bottom"/>
            <w:hideMark/>
          </w:tcPr>
          <w:p w14:paraId="15DB4BB8" w14:textId="77777777" w:rsidR="00532AB8" w:rsidRPr="00F22EC0" w:rsidRDefault="00532AB8" w:rsidP="00B33093">
            <w:pPr>
              <w:spacing w:line="276" w:lineRule="auto"/>
              <w:rPr>
                <w:rFonts w:eastAsia="Calibri"/>
                <w:color w:val="000000"/>
                <w:sz w:val="22"/>
                <w:szCs w:val="22"/>
              </w:rPr>
            </w:pPr>
            <w:r w:rsidRPr="00F22EC0">
              <w:rPr>
                <w:rFonts w:eastAsia="Calibri"/>
                <w:color w:val="000000"/>
                <w:sz w:val="22"/>
                <w:szCs w:val="22"/>
              </w:rPr>
              <w:t>WB</w:t>
            </w:r>
          </w:p>
        </w:tc>
        <w:tc>
          <w:tcPr>
            <w:tcW w:w="6301" w:type="dxa"/>
            <w:tcBorders>
              <w:top w:val="nil"/>
              <w:left w:val="nil"/>
              <w:bottom w:val="nil"/>
              <w:right w:val="nil"/>
            </w:tcBorders>
            <w:noWrap/>
            <w:vAlign w:val="bottom"/>
            <w:hideMark/>
          </w:tcPr>
          <w:p w14:paraId="18F49249" w14:textId="77777777" w:rsidR="00532AB8" w:rsidRPr="00F22EC0" w:rsidRDefault="00532AB8" w:rsidP="00B33093">
            <w:pPr>
              <w:spacing w:line="276" w:lineRule="auto"/>
              <w:rPr>
                <w:rFonts w:eastAsia="Calibri"/>
                <w:color w:val="000000"/>
                <w:sz w:val="22"/>
                <w:szCs w:val="22"/>
              </w:rPr>
            </w:pPr>
            <w:r w:rsidRPr="00F22EC0">
              <w:rPr>
                <w:rFonts w:eastAsia="Calibri"/>
                <w:color w:val="000000"/>
                <w:sz w:val="22"/>
                <w:szCs w:val="22"/>
              </w:rPr>
              <w:t>World Bank</w:t>
            </w:r>
          </w:p>
        </w:tc>
      </w:tr>
      <w:tr w:rsidR="00F22EC0" w:rsidRPr="00F22EC0" w14:paraId="22D4E089" w14:textId="77777777" w:rsidTr="00D0117E">
        <w:trPr>
          <w:trHeight w:val="284"/>
        </w:trPr>
        <w:tc>
          <w:tcPr>
            <w:tcW w:w="1440" w:type="dxa"/>
            <w:tcBorders>
              <w:top w:val="nil"/>
              <w:left w:val="nil"/>
              <w:bottom w:val="nil"/>
              <w:right w:val="nil"/>
            </w:tcBorders>
            <w:noWrap/>
            <w:vAlign w:val="bottom"/>
          </w:tcPr>
          <w:p w14:paraId="7C61FDB3" w14:textId="02B78B1E" w:rsidR="00F22EC0" w:rsidRPr="00F22EC0" w:rsidRDefault="00596F68" w:rsidP="00B33093">
            <w:pPr>
              <w:spacing w:line="276" w:lineRule="auto"/>
              <w:rPr>
                <w:rFonts w:eastAsia="Calibri"/>
                <w:color w:val="000000"/>
                <w:sz w:val="22"/>
                <w:szCs w:val="22"/>
              </w:rPr>
            </w:pPr>
            <w:r w:rsidRPr="00596F68">
              <w:rPr>
                <w:rFonts w:eastAsia="Calibri"/>
                <w:sz w:val="22"/>
                <w:szCs w:val="22"/>
              </w:rPr>
              <w:t>GPRGMP</w:t>
            </w:r>
          </w:p>
        </w:tc>
        <w:tc>
          <w:tcPr>
            <w:tcW w:w="6301" w:type="dxa"/>
            <w:tcBorders>
              <w:top w:val="nil"/>
              <w:left w:val="nil"/>
              <w:bottom w:val="nil"/>
              <w:right w:val="nil"/>
            </w:tcBorders>
            <w:noWrap/>
            <w:vAlign w:val="bottom"/>
          </w:tcPr>
          <w:p w14:paraId="564EA9CC" w14:textId="0C18D393" w:rsidR="00F22EC0" w:rsidRPr="00F22EC0" w:rsidRDefault="00F22EC0" w:rsidP="00B33093">
            <w:pPr>
              <w:spacing w:line="276" w:lineRule="auto"/>
              <w:rPr>
                <w:rFonts w:eastAsia="Calibri"/>
                <w:color w:val="000000"/>
                <w:sz w:val="22"/>
                <w:szCs w:val="22"/>
              </w:rPr>
            </w:pPr>
            <w:r w:rsidRPr="00F22EC0">
              <w:rPr>
                <w:rFonts w:eastAsia="Calibri"/>
                <w:color w:val="000000"/>
                <w:sz w:val="22"/>
                <w:szCs w:val="22"/>
              </w:rPr>
              <w:t>Guyana Petroleum Resources Governance and Management Project</w:t>
            </w:r>
          </w:p>
        </w:tc>
      </w:tr>
      <w:bookmarkEnd w:id="1"/>
      <w:bookmarkEnd w:id="0"/>
    </w:tbl>
    <w:p w14:paraId="3299B92B" w14:textId="77777777" w:rsidR="00532AB8" w:rsidRPr="00C40E52" w:rsidRDefault="00532AB8" w:rsidP="00B33093">
      <w:pPr>
        <w:spacing w:line="276" w:lineRule="auto"/>
        <w:rPr>
          <w:rFonts w:eastAsia="Calibri"/>
          <w:sz w:val="22"/>
          <w:szCs w:val="22"/>
        </w:rPr>
      </w:pPr>
    </w:p>
    <w:p w14:paraId="04C82147" w14:textId="77777777" w:rsidR="00C40E52" w:rsidRPr="00C40E52" w:rsidRDefault="00C40E52" w:rsidP="00B33093">
      <w:pPr>
        <w:spacing w:after="160" w:line="276" w:lineRule="auto"/>
        <w:rPr>
          <w:b/>
          <w:bCs/>
          <w:color w:val="2F5496"/>
          <w:sz w:val="22"/>
          <w:szCs w:val="22"/>
        </w:rPr>
      </w:pPr>
      <w:r w:rsidRPr="00C40E52">
        <w:rPr>
          <w:b/>
          <w:bCs/>
          <w:color w:val="2F5496"/>
          <w:sz w:val="22"/>
          <w:szCs w:val="22"/>
        </w:rPr>
        <w:br w:type="page"/>
      </w:r>
    </w:p>
    <w:p w14:paraId="4E6187E1" w14:textId="6D202213" w:rsidR="00532AB8" w:rsidRPr="00076896" w:rsidRDefault="00532AB8" w:rsidP="00E2439E">
      <w:pPr>
        <w:pStyle w:val="Heading1"/>
        <w:shd w:val="clear" w:color="auto" w:fill="45B0E1" w:themeFill="accent1" w:themeFillTint="99"/>
        <w:spacing w:line="276" w:lineRule="auto"/>
        <w:rPr>
          <w:b/>
          <w:bCs/>
          <w:sz w:val="28"/>
          <w:szCs w:val="28"/>
        </w:rPr>
      </w:pPr>
      <w:bookmarkStart w:id="3" w:name="_Toc225776184"/>
      <w:r w:rsidRPr="00076896">
        <w:rPr>
          <w:b/>
          <w:bCs/>
          <w:sz w:val="28"/>
          <w:szCs w:val="28"/>
        </w:rPr>
        <w:lastRenderedPageBreak/>
        <w:t>Acknowledgment</w:t>
      </w:r>
      <w:bookmarkEnd w:id="3"/>
    </w:p>
    <w:p w14:paraId="758AC896" w14:textId="043FC149" w:rsidR="00324FC3" w:rsidRDefault="003C396E" w:rsidP="00B33093">
      <w:pPr>
        <w:spacing w:line="276" w:lineRule="auto"/>
        <w:jc w:val="both"/>
        <w:rPr>
          <w:rFonts w:eastAsia="Calibri"/>
          <w:sz w:val="22"/>
          <w:szCs w:val="22"/>
        </w:rPr>
      </w:pPr>
      <w:r w:rsidRPr="003C396E">
        <w:rPr>
          <w:rFonts w:eastAsia="Calibri"/>
          <w:sz w:val="22"/>
          <w:szCs w:val="22"/>
        </w:rPr>
        <w:t>The Multi-Stakeholder Group (MSG) of the Guyana Extractive Industries Transparency Initiative (GYEITI) acknowledges the continued support of stakeholders who advance accountability and transparency in the management of Guyana’s extractive resources. Our shared objective is to ensure that these resources are managed in a manner that delivers tangible and sustainable benefits to the people of Guyana.</w:t>
      </w:r>
    </w:p>
    <w:p w14:paraId="53193187" w14:textId="77777777" w:rsidR="003C396E" w:rsidRDefault="003C396E" w:rsidP="00B33093">
      <w:pPr>
        <w:spacing w:line="276" w:lineRule="auto"/>
        <w:jc w:val="both"/>
        <w:rPr>
          <w:rFonts w:eastAsia="Calibri"/>
          <w:sz w:val="22"/>
          <w:szCs w:val="22"/>
        </w:rPr>
      </w:pPr>
    </w:p>
    <w:p w14:paraId="33DCABCB" w14:textId="034A8A62" w:rsidR="00324FC3" w:rsidRDefault="009247C5" w:rsidP="00B33093">
      <w:pPr>
        <w:spacing w:line="276" w:lineRule="auto"/>
        <w:jc w:val="both"/>
        <w:rPr>
          <w:rFonts w:eastAsia="Calibri"/>
          <w:sz w:val="22"/>
          <w:szCs w:val="22"/>
        </w:rPr>
      </w:pPr>
      <w:r w:rsidRPr="009247C5">
        <w:rPr>
          <w:rFonts w:eastAsia="Calibri"/>
          <w:sz w:val="22"/>
          <w:szCs w:val="22"/>
        </w:rPr>
        <w:t xml:space="preserve">The MSG recognizes the Government of Guyana for its ongoing commitment to transparency across the extractive value chain, in alignment with the EITI Standard. We particularly acknowledge the leadership of the EITI Champion, Hon. Vickram Bharrat, MP, </w:t>
      </w:r>
      <w:r w:rsidR="00BA59B9">
        <w:rPr>
          <w:rFonts w:eastAsia="Calibri"/>
          <w:sz w:val="22"/>
          <w:szCs w:val="22"/>
        </w:rPr>
        <w:t xml:space="preserve"> </w:t>
      </w:r>
      <w:r w:rsidRPr="009247C5">
        <w:rPr>
          <w:rFonts w:eastAsia="Calibri"/>
          <w:sz w:val="22"/>
          <w:szCs w:val="22"/>
        </w:rPr>
        <w:t>the Ministry of Natural Resources</w:t>
      </w:r>
      <w:r w:rsidR="00BA59B9">
        <w:rPr>
          <w:rFonts w:eastAsia="Calibri"/>
          <w:sz w:val="22"/>
          <w:szCs w:val="22"/>
        </w:rPr>
        <w:t xml:space="preserve"> and the Government of Guyana</w:t>
      </w:r>
      <w:r w:rsidRPr="009247C5">
        <w:rPr>
          <w:rFonts w:eastAsia="Calibri"/>
          <w:sz w:val="22"/>
          <w:szCs w:val="22"/>
        </w:rPr>
        <w:t xml:space="preserve"> for their operational and budgetary support to GYEITI.</w:t>
      </w:r>
    </w:p>
    <w:p w14:paraId="2FF491C9" w14:textId="77777777" w:rsidR="009247C5" w:rsidRDefault="009247C5" w:rsidP="00B33093">
      <w:pPr>
        <w:spacing w:line="276" w:lineRule="auto"/>
        <w:jc w:val="both"/>
        <w:rPr>
          <w:rFonts w:eastAsia="Calibri"/>
          <w:sz w:val="22"/>
          <w:szCs w:val="22"/>
        </w:rPr>
      </w:pPr>
    </w:p>
    <w:p w14:paraId="28181AF9" w14:textId="77777777" w:rsidR="005E12A6" w:rsidRDefault="005E12A6" w:rsidP="00B33093">
      <w:pPr>
        <w:spacing w:line="276" w:lineRule="auto"/>
        <w:jc w:val="both"/>
        <w:rPr>
          <w:rFonts w:eastAsia="Calibri"/>
          <w:sz w:val="22"/>
          <w:szCs w:val="22"/>
        </w:rPr>
      </w:pPr>
      <w:r w:rsidRPr="005E12A6">
        <w:rPr>
          <w:rFonts w:eastAsia="Calibri"/>
          <w:sz w:val="22"/>
          <w:szCs w:val="22"/>
        </w:rPr>
        <w:t>We commend Civil Society for its vital role within the multi-stakeholder framework. Through consistent monitoring, advocacy, and constructive recommendations, civil society has strengthened oversight and contributed meaningfully to improved disclosure practices and public engagement.</w:t>
      </w:r>
    </w:p>
    <w:p w14:paraId="18DA363C" w14:textId="77777777" w:rsidR="005E12A6" w:rsidRDefault="005E12A6" w:rsidP="00B33093">
      <w:pPr>
        <w:spacing w:line="276" w:lineRule="auto"/>
        <w:jc w:val="both"/>
        <w:rPr>
          <w:rFonts w:eastAsia="Calibri"/>
          <w:sz w:val="22"/>
          <w:szCs w:val="22"/>
        </w:rPr>
      </w:pPr>
    </w:p>
    <w:p w14:paraId="361825B8" w14:textId="2982EC0D" w:rsidR="00324FC3" w:rsidRDefault="00715769" w:rsidP="00B33093">
      <w:pPr>
        <w:spacing w:line="276" w:lineRule="auto"/>
        <w:jc w:val="both"/>
        <w:rPr>
          <w:rFonts w:eastAsia="Calibri"/>
          <w:sz w:val="22"/>
          <w:szCs w:val="22"/>
        </w:rPr>
      </w:pPr>
      <w:r w:rsidRPr="00715769">
        <w:rPr>
          <w:rFonts w:eastAsia="Calibri"/>
          <w:sz w:val="22"/>
          <w:szCs w:val="22"/>
        </w:rPr>
        <w:t>We also acknowledge the cooperation of extractive companies and government agencies in providing timely and credible data to support GYEITI disclosures. The integrity of the EITI process depends on the quality and completeness of information submitted by reporting entities.</w:t>
      </w:r>
    </w:p>
    <w:p w14:paraId="40DFA853" w14:textId="77777777" w:rsidR="00715769" w:rsidRDefault="00715769" w:rsidP="00B33093">
      <w:pPr>
        <w:spacing w:line="276" w:lineRule="auto"/>
        <w:jc w:val="both"/>
        <w:rPr>
          <w:rFonts w:eastAsia="Calibri"/>
          <w:sz w:val="22"/>
          <w:szCs w:val="22"/>
        </w:rPr>
      </w:pPr>
    </w:p>
    <w:p w14:paraId="5FAE798C" w14:textId="5DAB721E" w:rsidR="00324FC3" w:rsidRDefault="00357C9E" w:rsidP="00B33093">
      <w:pPr>
        <w:spacing w:line="276" w:lineRule="auto"/>
        <w:jc w:val="both"/>
        <w:rPr>
          <w:rFonts w:eastAsia="Calibri"/>
          <w:sz w:val="22"/>
          <w:szCs w:val="22"/>
        </w:rPr>
      </w:pPr>
      <w:r w:rsidRPr="00357C9E">
        <w:rPr>
          <w:rFonts w:eastAsia="Calibri"/>
          <w:sz w:val="22"/>
          <w:szCs w:val="22"/>
        </w:rPr>
        <w:t xml:space="preserve">The MSG further expresses appreciation to the staff of the GYEITI Secretariat for their dedicated administrative and technical support in implementing the </w:t>
      </w:r>
      <w:r w:rsidR="00BA59B9">
        <w:rPr>
          <w:rFonts w:eastAsia="Calibri"/>
          <w:sz w:val="22"/>
          <w:szCs w:val="22"/>
        </w:rPr>
        <w:t>w</w:t>
      </w:r>
      <w:r w:rsidRPr="00357C9E">
        <w:rPr>
          <w:rFonts w:eastAsia="Calibri"/>
          <w:sz w:val="22"/>
          <w:szCs w:val="22"/>
        </w:rPr>
        <w:t>orkplan and advancing the objectives of the Initiative.</w:t>
      </w:r>
    </w:p>
    <w:p w14:paraId="6FDAB6F1" w14:textId="77777777" w:rsidR="00357C9E" w:rsidRDefault="00357C9E" w:rsidP="00B33093">
      <w:pPr>
        <w:spacing w:line="276" w:lineRule="auto"/>
        <w:jc w:val="both"/>
        <w:rPr>
          <w:rFonts w:eastAsia="Calibri"/>
          <w:sz w:val="22"/>
          <w:szCs w:val="22"/>
        </w:rPr>
      </w:pPr>
    </w:p>
    <w:p w14:paraId="006639D7" w14:textId="13057A61" w:rsidR="0052711B" w:rsidRDefault="00C47C42" w:rsidP="00B33093">
      <w:pPr>
        <w:spacing w:after="160" w:line="276" w:lineRule="auto"/>
        <w:rPr>
          <w:b/>
          <w:bCs/>
          <w:sz w:val="28"/>
          <w:szCs w:val="28"/>
        </w:rPr>
      </w:pPr>
      <w:bookmarkStart w:id="4" w:name="_Toc164687919"/>
      <w:r w:rsidRPr="00C47C42">
        <w:rPr>
          <w:rFonts w:eastAsia="Calibri"/>
          <w:sz w:val="22"/>
          <w:szCs w:val="22"/>
        </w:rPr>
        <w:t>Finally, we thank the citizens of Guyana for their continued engagement and feedback in support of transparency and accountability in the extractive sector.</w:t>
      </w:r>
      <w:r w:rsidR="003C07D8">
        <w:rPr>
          <w:rFonts w:eastAsia="Calibri"/>
          <w:sz w:val="22"/>
          <w:szCs w:val="22"/>
        </w:rPr>
        <w:t xml:space="preserve"> </w:t>
      </w:r>
      <w:r w:rsidR="0052711B">
        <w:rPr>
          <w:b/>
          <w:bCs/>
          <w:sz w:val="28"/>
          <w:szCs w:val="28"/>
        </w:rPr>
        <w:br w:type="page"/>
      </w:r>
    </w:p>
    <w:p w14:paraId="6519BED1" w14:textId="69531E4D" w:rsidR="008E02D4" w:rsidRPr="00CC7FE8" w:rsidRDefault="0052711B" w:rsidP="00CC7FE8">
      <w:pPr>
        <w:pStyle w:val="Heading1"/>
        <w:shd w:val="clear" w:color="auto" w:fill="45B0E1" w:themeFill="accent1" w:themeFillTint="99"/>
        <w:spacing w:line="276" w:lineRule="auto"/>
        <w:rPr>
          <w:b/>
          <w:bCs/>
          <w:sz w:val="28"/>
          <w:szCs w:val="28"/>
        </w:rPr>
      </w:pPr>
      <w:bookmarkStart w:id="5" w:name="_Toc225776185"/>
      <w:r>
        <w:rPr>
          <w:b/>
          <w:bCs/>
          <w:sz w:val="28"/>
          <w:szCs w:val="28"/>
        </w:rPr>
        <w:lastRenderedPageBreak/>
        <w:t>Executive Summary</w:t>
      </w:r>
      <w:bookmarkEnd w:id="5"/>
      <w:r w:rsidR="00BA59B9">
        <w:rPr>
          <w:b/>
          <w:bCs/>
          <w:sz w:val="28"/>
          <w:szCs w:val="28"/>
        </w:rPr>
        <w:t xml:space="preserve"> </w:t>
      </w:r>
    </w:p>
    <w:p w14:paraId="1D4B7112" w14:textId="6F5D307B" w:rsidR="008E02D4" w:rsidRPr="008E02D4" w:rsidRDefault="008E02D4" w:rsidP="008E02D4">
      <w:pPr>
        <w:spacing w:line="276" w:lineRule="auto"/>
        <w:jc w:val="both"/>
        <w:rPr>
          <w:b/>
          <w:bCs/>
          <w:sz w:val="22"/>
          <w:szCs w:val="22"/>
        </w:rPr>
      </w:pPr>
      <w:r w:rsidRPr="008E02D4">
        <w:rPr>
          <w:b/>
          <w:bCs/>
          <w:sz w:val="22"/>
          <w:szCs w:val="22"/>
        </w:rPr>
        <w:t>Guyana EITI Annual Progress Review 2025</w:t>
      </w:r>
    </w:p>
    <w:p w14:paraId="62FE5FA7" w14:textId="11BCB3F9" w:rsidR="005B3967" w:rsidRDefault="00F03297" w:rsidP="008E02D4">
      <w:pPr>
        <w:spacing w:line="276" w:lineRule="auto"/>
        <w:jc w:val="both"/>
        <w:rPr>
          <w:sz w:val="22"/>
          <w:szCs w:val="22"/>
        </w:rPr>
      </w:pPr>
      <w:r w:rsidRPr="00F03297">
        <w:rPr>
          <w:sz w:val="22"/>
          <w:szCs w:val="22"/>
        </w:rPr>
        <w:t>The Guyana Extractive Industries Transparency Initiative (GYEITI) advanced transparency and accountability in the extractive sector during FY 2025, navigating institutional transitions and capacity constraints to achieve significant progress in reporting, outreach, and systematic disclosure.</w:t>
      </w:r>
      <w:r w:rsidR="00F21CF6">
        <w:rPr>
          <w:sz w:val="22"/>
          <w:szCs w:val="22"/>
        </w:rPr>
        <w:t xml:space="preserve"> </w:t>
      </w:r>
      <w:r w:rsidR="00F21CF6" w:rsidRPr="00F21CF6">
        <w:rPr>
          <w:sz w:val="22"/>
          <w:szCs w:val="22"/>
        </w:rPr>
        <w:t xml:space="preserve">Total implementation costs </w:t>
      </w:r>
      <w:r w:rsidR="00E43059">
        <w:rPr>
          <w:sz w:val="22"/>
          <w:szCs w:val="22"/>
        </w:rPr>
        <w:t>of G$ 96.5 million</w:t>
      </w:r>
      <w:r w:rsidR="00E43059" w:rsidRPr="00F21CF6">
        <w:rPr>
          <w:sz w:val="22"/>
          <w:szCs w:val="22"/>
        </w:rPr>
        <w:t xml:space="preserve"> </w:t>
      </w:r>
      <w:r w:rsidR="00F21CF6" w:rsidRPr="00F21CF6">
        <w:rPr>
          <w:sz w:val="22"/>
          <w:szCs w:val="22"/>
        </w:rPr>
        <w:t xml:space="preserve">for 2025 were funded by the Government of Guyana through the Ministry of Natural Resources, supplemented by World Bank technical assistance under the </w:t>
      </w:r>
      <w:r w:rsidR="00C70C04" w:rsidRPr="00596F68">
        <w:rPr>
          <w:rFonts w:eastAsia="Calibri"/>
          <w:sz w:val="22"/>
          <w:szCs w:val="22"/>
        </w:rPr>
        <w:t>GPRGMP</w:t>
      </w:r>
      <w:r w:rsidR="00C70C04" w:rsidRPr="00F21CF6">
        <w:rPr>
          <w:sz w:val="22"/>
          <w:szCs w:val="22"/>
        </w:rPr>
        <w:t xml:space="preserve"> </w:t>
      </w:r>
      <w:r w:rsidR="00F21CF6" w:rsidRPr="00F21CF6">
        <w:rPr>
          <w:sz w:val="22"/>
          <w:szCs w:val="22"/>
        </w:rPr>
        <w:t>Project.</w:t>
      </w:r>
      <w:r w:rsidR="005E0BE5">
        <w:rPr>
          <w:sz w:val="22"/>
          <w:szCs w:val="22"/>
        </w:rPr>
        <w:t xml:space="preserve"> </w:t>
      </w:r>
    </w:p>
    <w:p w14:paraId="7AB6F81A" w14:textId="77777777" w:rsidR="00F03297" w:rsidRPr="008E02D4" w:rsidRDefault="00F03297" w:rsidP="008E02D4">
      <w:pPr>
        <w:spacing w:line="276" w:lineRule="auto"/>
        <w:jc w:val="both"/>
        <w:rPr>
          <w:sz w:val="22"/>
          <w:szCs w:val="22"/>
        </w:rPr>
      </w:pPr>
    </w:p>
    <w:p w14:paraId="533A2D8B" w14:textId="7C58592F" w:rsidR="008935F5" w:rsidRPr="008935F5" w:rsidRDefault="008E02D4" w:rsidP="008935F5">
      <w:pPr>
        <w:spacing w:line="276" w:lineRule="auto"/>
        <w:jc w:val="both"/>
        <w:rPr>
          <w:sz w:val="22"/>
          <w:szCs w:val="22"/>
        </w:rPr>
      </w:pPr>
      <w:r w:rsidRPr="001A25E9">
        <w:rPr>
          <w:b/>
          <w:bCs/>
          <w:sz w:val="22"/>
          <w:szCs w:val="22"/>
        </w:rPr>
        <w:t>Key Achievements in 2025</w:t>
      </w:r>
      <w:r w:rsidR="002B66E7">
        <w:rPr>
          <w:b/>
          <w:bCs/>
          <w:sz w:val="22"/>
          <w:szCs w:val="22"/>
        </w:rPr>
        <w:t xml:space="preserve">: </w:t>
      </w:r>
      <w:r w:rsidR="00281699" w:rsidRPr="00281699">
        <w:rPr>
          <w:sz w:val="22"/>
          <w:szCs w:val="22"/>
        </w:rPr>
        <w:t>Guyana published its seventh EITI Report (FY 2023) on 31 December 2025, meeting the timeliness and reporting requirements of the 2023 EITI Standard and reflecting restored on-time publication.</w:t>
      </w:r>
      <w:r w:rsidR="009A5E6E">
        <w:rPr>
          <w:sz w:val="22"/>
          <w:szCs w:val="22"/>
        </w:rPr>
        <w:t xml:space="preserve"> </w:t>
      </w:r>
    </w:p>
    <w:p w14:paraId="3DFD727A" w14:textId="77777777" w:rsidR="000170E9" w:rsidRDefault="000170E9" w:rsidP="008935F5">
      <w:pPr>
        <w:spacing w:line="276" w:lineRule="auto"/>
        <w:jc w:val="both"/>
        <w:rPr>
          <w:sz w:val="22"/>
          <w:szCs w:val="22"/>
        </w:rPr>
      </w:pPr>
    </w:p>
    <w:p w14:paraId="79F218B7" w14:textId="777426B2" w:rsidR="008935F5" w:rsidRDefault="008935F5" w:rsidP="008935F5">
      <w:pPr>
        <w:spacing w:line="276" w:lineRule="auto"/>
        <w:jc w:val="both"/>
        <w:rPr>
          <w:sz w:val="22"/>
          <w:szCs w:val="22"/>
        </w:rPr>
      </w:pPr>
      <w:r w:rsidRPr="008935F5">
        <w:rPr>
          <w:sz w:val="22"/>
          <w:szCs w:val="22"/>
        </w:rPr>
        <w:t>Systematic disclosure improved through collaboration with the GGMC, GGB, and EPA, enhancing online publication of licenses, payments, and environmental permits. Two newsletters and a Data Dissemination Bulletin comparing FY 2021–2022 revenues, alongside open data Excel datasets, enabled public analysis.</w:t>
      </w:r>
    </w:p>
    <w:p w14:paraId="1988708D" w14:textId="77777777" w:rsidR="00BA59B9" w:rsidRDefault="00BA59B9" w:rsidP="00BA59B9">
      <w:pPr>
        <w:spacing w:line="276" w:lineRule="auto"/>
        <w:jc w:val="both"/>
        <w:rPr>
          <w:sz w:val="22"/>
          <w:szCs w:val="22"/>
        </w:rPr>
      </w:pPr>
    </w:p>
    <w:p w14:paraId="36545C0D" w14:textId="425D8A1E" w:rsidR="00BA59B9" w:rsidRPr="008935F5" w:rsidRDefault="00BA59B9" w:rsidP="00BA59B9">
      <w:pPr>
        <w:spacing w:line="276" w:lineRule="auto"/>
        <w:jc w:val="both"/>
        <w:rPr>
          <w:sz w:val="22"/>
          <w:szCs w:val="22"/>
        </w:rPr>
      </w:pPr>
      <w:r w:rsidRPr="008935F5">
        <w:rPr>
          <w:sz w:val="22"/>
          <w:szCs w:val="22"/>
        </w:rPr>
        <w:t xml:space="preserve">Outreach reached new levels: nine secondary schools engaged, three EITI Clubs established nurturing "Tomorrow's Transparency Champions," and stakeholders including the Financial Intelligence Unit, Ministry of Amerindian Affairs, Women's Chamber of Commerce, Lethem miners, and media participated in workshops. The </w:t>
      </w:r>
      <w:proofErr w:type="spellStart"/>
      <w:r w:rsidRPr="008935F5">
        <w:rPr>
          <w:sz w:val="22"/>
          <w:szCs w:val="22"/>
        </w:rPr>
        <w:t>Merundoi</w:t>
      </w:r>
      <w:proofErr w:type="spellEnd"/>
      <w:r w:rsidRPr="008935F5">
        <w:rPr>
          <w:sz w:val="22"/>
          <w:szCs w:val="22"/>
        </w:rPr>
        <w:t xml:space="preserve"> radio drama aired 47 episodes promoting transparency, and a new Facebook page launched in January 2025 expanded digital engagement.</w:t>
      </w:r>
    </w:p>
    <w:p w14:paraId="049D9AB0" w14:textId="77777777" w:rsidR="00BA59B9" w:rsidRDefault="00BA59B9" w:rsidP="008935F5">
      <w:pPr>
        <w:spacing w:line="276" w:lineRule="auto"/>
        <w:jc w:val="both"/>
        <w:rPr>
          <w:sz w:val="22"/>
          <w:szCs w:val="22"/>
        </w:rPr>
      </w:pPr>
    </w:p>
    <w:p w14:paraId="691FB9A1" w14:textId="77777777" w:rsidR="00BA59B9" w:rsidRPr="008935F5" w:rsidRDefault="00BA59B9" w:rsidP="008935F5">
      <w:pPr>
        <w:spacing w:line="276" w:lineRule="auto"/>
        <w:jc w:val="both"/>
        <w:rPr>
          <w:sz w:val="22"/>
          <w:szCs w:val="22"/>
        </w:rPr>
      </w:pPr>
    </w:p>
    <w:p w14:paraId="2BA63A22" w14:textId="57AB21E9" w:rsidR="008E02D4" w:rsidRPr="008E02D4" w:rsidRDefault="008E02D4" w:rsidP="008935F5">
      <w:pPr>
        <w:spacing w:line="276" w:lineRule="auto"/>
        <w:jc w:val="both"/>
        <w:rPr>
          <w:sz w:val="22"/>
          <w:szCs w:val="22"/>
        </w:rPr>
      </w:pPr>
    </w:p>
    <w:p w14:paraId="79DE47F3" w14:textId="5597F07F" w:rsidR="00D40D28" w:rsidRPr="002B66E7" w:rsidRDefault="008E02D4" w:rsidP="008E02D4">
      <w:pPr>
        <w:spacing w:line="276" w:lineRule="auto"/>
        <w:jc w:val="both"/>
        <w:rPr>
          <w:b/>
          <w:bCs/>
          <w:sz w:val="22"/>
          <w:szCs w:val="22"/>
        </w:rPr>
      </w:pPr>
      <w:r w:rsidRPr="00A34393">
        <w:rPr>
          <w:b/>
          <w:bCs/>
          <w:sz w:val="22"/>
          <w:szCs w:val="22"/>
        </w:rPr>
        <w:t>Governance Transition</w:t>
      </w:r>
      <w:r w:rsidR="002B66E7">
        <w:rPr>
          <w:b/>
          <w:bCs/>
          <w:sz w:val="22"/>
          <w:szCs w:val="22"/>
        </w:rPr>
        <w:t xml:space="preserve">: </w:t>
      </w:r>
      <w:r w:rsidR="004B08E1" w:rsidRPr="004B08E1">
        <w:rPr>
          <w:sz w:val="22"/>
          <w:szCs w:val="22"/>
        </w:rPr>
        <w:t xml:space="preserve">The Multi-Stakeholder Group (MSG) was reconstituted in August 2025 with eight representatives each from Government, Industry, and Civil Society. New members received training on the GYEITI Policy Manual and 2023 EITI Standard. Civil Society representation concerns prompted EITI International Secretariat intervention, with revised membership agreed in November 2025; remaining vacancies are expected to be </w:t>
      </w:r>
      <w:r w:rsidR="003A57DC">
        <w:rPr>
          <w:sz w:val="22"/>
          <w:szCs w:val="22"/>
        </w:rPr>
        <w:t>filled</w:t>
      </w:r>
      <w:r w:rsidR="004B08E1" w:rsidRPr="004B08E1">
        <w:rPr>
          <w:sz w:val="22"/>
          <w:szCs w:val="22"/>
        </w:rPr>
        <w:t xml:space="preserve"> in 2026.</w:t>
      </w:r>
    </w:p>
    <w:p w14:paraId="4F383B8D" w14:textId="77777777" w:rsidR="004B08E1" w:rsidRPr="008E02D4" w:rsidRDefault="004B08E1" w:rsidP="008E02D4">
      <w:pPr>
        <w:spacing w:line="276" w:lineRule="auto"/>
        <w:jc w:val="both"/>
        <w:rPr>
          <w:sz w:val="22"/>
          <w:szCs w:val="22"/>
        </w:rPr>
      </w:pPr>
    </w:p>
    <w:p w14:paraId="5191266F" w14:textId="68C01F95" w:rsidR="005639BD" w:rsidRPr="002B66E7" w:rsidRDefault="008E02D4" w:rsidP="005639BD">
      <w:pPr>
        <w:spacing w:line="276" w:lineRule="auto"/>
        <w:jc w:val="both"/>
        <w:rPr>
          <w:b/>
          <w:bCs/>
          <w:sz w:val="22"/>
          <w:szCs w:val="22"/>
        </w:rPr>
      </w:pPr>
      <w:r w:rsidRPr="001E1415">
        <w:rPr>
          <w:b/>
          <w:bCs/>
          <w:sz w:val="22"/>
          <w:szCs w:val="22"/>
        </w:rPr>
        <w:t>Implementation Challenges</w:t>
      </w:r>
      <w:r w:rsidR="002B66E7">
        <w:rPr>
          <w:b/>
          <w:bCs/>
          <w:sz w:val="22"/>
          <w:szCs w:val="22"/>
        </w:rPr>
        <w:t xml:space="preserve">: </w:t>
      </w:r>
      <w:r w:rsidR="001B02A8" w:rsidRPr="001B02A8">
        <w:rPr>
          <w:sz w:val="22"/>
          <w:szCs w:val="22"/>
        </w:rPr>
        <w:t xml:space="preserve">Mining sector data collection remained constrained, with stakeholders reluctant to submit templates due to security concerns, resulting in aggregated data. Audit backlogs in </w:t>
      </w:r>
      <w:r w:rsidR="000157EE">
        <w:rPr>
          <w:sz w:val="22"/>
          <w:szCs w:val="22"/>
        </w:rPr>
        <w:t xml:space="preserve">a few </w:t>
      </w:r>
      <w:r w:rsidR="001B02A8" w:rsidRPr="001B02A8">
        <w:rPr>
          <w:sz w:val="22"/>
          <w:szCs w:val="22"/>
        </w:rPr>
        <w:t xml:space="preserve">state entities affected data quality compliance, requiring continued use of Agreed-Upon Procedures. Secretariat capacity, partially supported by World Bank-funded technical assistance, </w:t>
      </w:r>
      <w:r w:rsidR="00BA7B39">
        <w:rPr>
          <w:sz w:val="22"/>
          <w:szCs w:val="22"/>
        </w:rPr>
        <w:t xml:space="preserve">has made </w:t>
      </w:r>
      <w:r w:rsidR="001B02A8" w:rsidRPr="001B02A8">
        <w:rPr>
          <w:sz w:val="22"/>
          <w:szCs w:val="22"/>
        </w:rPr>
        <w:t>limited progress on Beneficial Ownership data and website management.</w:t>
      </w:r>
      <w:r w:rsidR="00BA7B39">
        <w:rPr>
          <w:sz w:val="22"/>
          <w:szCs w:val="22"/>
        </w:rPr>
        <w:t xml:space="preserve"> </w:t>
      </w:r>
      <w:r w:rsidR="005639BD">
        <w:rPr>
          <w:sz w:val="22"/>
          <w:szCs w:val="22"/>
        </w:rPr>
        <w:t xml:space="preserve">The evolving MSG composition was a key challenge in governance and oversight. </w:t>
      </w:r>
    </w:p>
    <w:p w14:paraId="608D92DA" w14:textId="487C57BA" w:rsidR="001B02A8" w:rsidRPr="008E02D4" w:rsidRDefault="001B02A8" w:rsidP="008E02D4">
      <w:pPr>
        <w:spacing w:line="276" w:lineRule="auto"/>
        <w:jc w:val="both"/>
        <w:rPr>
          <w:sz w:val="22"/>
          <w:szCs w:val="22"/>
        </w:rPr>
      </w:pPr>
    </w:p>
    <w:p w14:paraId="5998DAC5" w14:textId="0F4C9508" w:rsidR="001E45D9" w:rsidRPr="00BD134D" w:rsidRDefault="008E02D4" w:rsidP="008E02D4">
      <w:pPr>
        <w:spacing w:line="276" w:lineRule="auto"/>
        <w:jc w:val="both"/>
        <w:rPr>
          <w:b/>
          <w:bCs/>
          <w:sz w:val="22"/>
          <w:szCs w:val="22"/>
        </w:rPr>
      </w:pPr>
      <w:r w:rsidRPr="0007484D">
        <w:rPr>
          <w:b/>
          <w:bCs/>
          <w:sz w:val="22"/>
          <w:szCs w:val="22"/>
        </w:rPr>
        <w:t>Addressing Corrective Actions</w:t>
      </w:r>
      <w:r w:rsidR="00BD134D">
        <w:rPr>
          <w:b/>
          <w:bCs/>
          <w:sz w:val="22"/>
          <w:szCs w:val="22"/>
        </w:rPr>
        <w:t xml:space="preserve">: </w:t>
      </w:r>
      <w:r w:rsidR="00E5149B" w:rsidRPr="00E5149B">
        <w:rPr>
          <w:sz w:val="22"/>
          <w:szCs w:val="22"/>
        </w:rPr>
        <w:t xml:space="preserve">Progress continued on the fourteen corrective actions from Guyana's 2021 Validation (score: 52/100). Validation preparation prioritized three template sets covering Transparency, Outcomes and Impacts, and Stakeholder Engagement, reviewed by the MSG. The Validation exercise was </w:t>
      </w:r>
      <w:r w:rsidR="00261F93">
        <w:rPr>
          <w:sz w:val="22"/>
          <w:szCs w:val="22"/>
        </w:rPr>
        <w:t>extended</w:t>
      </w:r>
      <w:r w:rsidR="00E5149B" w:rsidRPr="00E5149B">
        <w:rPr>
          <w:sz w:val="22"/>
          <w:szCs w:val="22"/>
        </w:rPr>
        <w:t xml:space="preserve"> to January 2026 to allow completion of preparatory work.</w:t>
      </w:r>
    </w:p>
    <w:p w14:paraId="3F40E683" w14:textId="77777777" w:rsidR="00E5149B" w:rsidRPr="008E02D4" w:rsidRDefault="00E5149B" w:rsidP="008E02D4">
      <w:pPr>
        <w:spacing w:line="276" w:lineRule="auto"/>
        <w:jc w:val="both"/>
        <w:rPr>
          <w:sz w:val="22"/>
          <w:szCs w:val="22"/>
        </w:rPr>
      </w:pPr>
    </w:p>
    <w:p w14:paraId="3548653A" w14:textId="151FE13A" w:rsidR="00E5149B" w:rsidRPr="00E5149B" w:rsidRDefault="009E62BD" w:rsidP="00BD134D">
      <w:pPr>
        <w:spacing w:line="276" w:lineRule="auto"/>
        <w:jc w:val="both"/>
        <w:rPr>
          <w:b/>
          <w:bCs/>
          <w:sz w:val="22"/>
          <w:szCs w:val="22"/>
        </w:rPr>
      </w:pPr>
      <w:r>
        <w:rPr>
          <w:b/>
          <w:bCs/>
          <w:sz w:val="22"/>
          <w:szCs w:val="22"/>
        </w:rPr>
        <w:lastRenderedPageBreak/>
        <w:t xml:space="preserve">Going </w:t>
      </w:r>
      <w:r w:rsidR="008E02D4" w:rsidRPr="00F94FCD">
        <w:rPr>
          <w:b/>
          <w:bCs/>
          <w:sz w:val="22"/>
          <w:szCs w:val="22"/>
        </w:rPr>
        <w:t>Forward</w:t>
      </w:r>
      <w:r w:rsidR="00BD134D">
        <w:rPr>
          <w:b/>
          <w:bCs/>
          <w:sz w:val="22"/>
          <w:szCs w:val="22"/>
        </w:rPr>
        <w:t xml:space="preserve">: </w:t>
      </w:r>
      <w:r w:rsidR="00E5149B" w:rsidRPr="00E5149B">
        <w:rPr>
          <w:sz w:val="22"/>
          <w:szCs w:val="22"/>
        </w:rPr>
        <w:t>The 2025–2026 Workplan focuses on addressing outstanding corrective actions, implementing prior EITI recommendations, and integrating 2023 EITI Standard requirements, including revenue collection, energy transition, anti-corruption, and gender. Work will continue on updating the Beneficial Ownership register, mainstreaming systematic disclosure, and preparing for Validation.</w:t>
      </w:r>
    </w:p>
    <w:p w14:paraId="06A4007A" w14:textId="640E389E" w:rsidR="00532AB8" w:rsidRPr="00EA4DE2" w:rsidRDefault="00532AB8" w:rsidP="00E2439E">
      <w:pPr>
        <w:pStyle w:val="Heading1"/>
        <w:shd w:val="clear" w:color="auto" w:fill="45B0E1" w:themeFill="accent1" w:themeFillTint="99"/>
        <w:spacing w:line="276" w:lineRule="auto"/>
        <w:rPr>
          <w:b/>
          <w:bCs/>
          <w:sz w:val="28"/>
          <w:szCs w:val="28"/>
        </w:rPr>
      </w:pPr>
      <w:bookmarkStart w:id="6" w:name="_Toc225776186"/>
      <w:r w:rsidRPr="00EA4DE2">
        <w:rPr>
          <w:b/>
          <w:bCs/>
          <w:sz w:val="28"/>
          <w:szCs w:val="28"/>
        </w:rPr>
        <w:t>Background and Introduction</w:t>
      </w:r>
      <w:bookmarkEnd w:id="4"/>
      <w:bookmarkEnd w:id="6"/>
    </w:p>
    <w:p w14:paraId="27D89AB5" w14:textId="77777777" w:rsidR="00922173" w:rsidRDefault="009E117F" w:rsidP="009E117F">
      <w:pPr>
        <w:spacing w:after="160" w:line="276" w:lineRule="auto"/>
        <w:jc w:val="both"/>
        <w:rPr>
          <w:rFonts w:eastAsia="Calibri"/>
          <w:b/>
          <w:bCs/>
          <w:sz w:val="22"/>
          <w:szCs w:val="22"/>
        </w:rPr>
      </w:pPr>
      <w:bookmarkStart w:id="7" w:name="_Toc164687920"/>
      <w:r w:rsidRPr="00745DAD">
        <w:rPr>
          <w:rFonts w:eastAsia="Calibri"/>
          <w:sz w:val="22"/>
          <w:szCs w:val="22"/>
        </w:rPr>
        <w:t xml:space="preserve">Guyana joined the Extractive Industries Transparency Initiative (EITI) in 2017 to strengthen transparency and accountability in the management of its oil, gas, mineral, and other natural resources. Since becoming an implementing country, the Guyana EITI (GYEITI) has published seven (7) EITI Reports covering fiscal years 2017 through 2023. </w:t>
      </w:r>
      <w:r w:rsidR="00922173" w:rsidRPr="00922173">
        <w:rPr>
          <w:rFonts w:eastAsia="Calibri"/>
          <w:sz w:val="22"/>
          <w:szCs w:val="22"/>
        </w:rPr>
        <w:t xml:space="preserve">As a globally recognized standard, the EITI provides a framework through which resource-rich countries can promote good </w:t>
      </w:r>
      <w:r w:rsidR="00922173" w:rsidRPr="00E20162">
        <w:rPr>
          <w:rFonts w:eastAsia="Calibri"/>
          <w:sz w:val="22"/>
          <w:szCs w:val="22"/>
        </w:rPr>
        <w:t>governance and ensure the transparent and accountable management of natural resource revenues</w:t>
      </w:r>
    </w:p>
    <w:p w14:paraId="24C32396" w14:textId="16276DE3" w:rsidR="009E117F" w:rsidRPr="00745DAD" w:rsidRDefault="009E117F" w:rsidP="009E117F">
      <w:pPr>
        <w:spacing w:after="160" w:line="276" w:lineRule="auto"/>
        <w:jc w:val="both"/>
        <w:rPr>
          <w:rFonts w:eastAsia="Calibri"/>
          <w:sz w:val="22"/>
          <w:szCs w:val="22"/>
        </w:rPr>
      </w:pPr>
      <w:r w:rsidRPr="00745DAD">
        <w:rPr>
          <w:rFonts w:eastAsia="Calibri"/>
          <w:sz w:val="22"/>
          <w:szCs w:val="22"/>
        </w:rPr>
        <w:t>The implementation of EITI in Guyana has contributed to important policy and regulatory improvements. Notably, sustained advocacy for contract transparency contributed to the adoption of a Contract Disclosure Policy in 2025. GYEITI has also promoted enhanced data disaggregation, improved accuracy of export reporting, stronger coordination in the allocation of licenses, and greater emphasis on data quality and timeliness across the extractive sector. In addition, GYEITI’s recommendations have informed ongoing efforts to strengthen transparency, oversight, and regulatory practices in the</w:t>
      </w:r>
      <w:r w:rsidR="003C6A94">
        <w:rPr>
          <w:rFonts w:eastAsia="Calibri"/>
          <w:sz w:val="22"/>
          <w:szCs w:val="22"/>
        </w:rPr>
        <w:t xml:space="preserve"> mining sector</w:t>
      </w:r>
      <w:r w:rsidR="003D299E">
        <w:rPr>
          <w:rFonts w:eastAsia="Calibri"/>
          <w:sz w:val="22"/>
          <w:szCs w:val="22"/>
        </w:rPr>
        <w:t xml:space="preserve"> </w:t>
      </w:r>
      <w:r w:rsidR="001A1AEF">
        <w:rPr>
          <w:rFonts w:eastAsia="Calibri"/>
          <w:sz w:val="22"/>
          <w:szCs w:val="22"/>
        </w:rPr>
        <w:t>as</w:t>
      </w:r>
      <w:r w:rsidR="00566D3E">
        <w:rPr>
          <w:rFonts w:eastAsia="Calibri"/>
          <w:sz w:val="22"/>
          <w:szCs w:val="22"/>
        </w:rPr>
        <w:t xml:space="preserve"> well as</w:t>
      </w:r>
      <w:r w:rsidR="003D299E">
        <w:rPr>
          <w:rFonts w:eastAsia="Calibri"/>
          <w:sz w:val="22"/>
          <w:szCs w:val="22"/>
        </w:rPr>
        <w:t xml:space="preserve"> the</w:t>
      </w:r>
      <w:r w:rsidRPr="00745DAD">
        <w:rPr>
          <w:rFonts w:eastAsia="Calibri"/>
          <w:sz w:val="22"/>
          <w:szCs w:val="22"/>
        </w:rPr>
        <w:t xml:space="preserve"> oil and gas sector, which commenced production in 2019. Through its Independent Administrator (IA) Reports and stakeholder engagements</w:t>
      </w:r>
      <w:r w:rsidR="00856C4A" w:rsidRPr="0011386D">
        <w:rPr>
          <w:rFonts w:eastAsia="Calibri"/>
          <w:sz w:val="22"/>
          <w:szCs w:val="22"/>
        </w:rPr>
        <w:t>,</w:t>
      </w:r>
      <w:r w:rsidR="00A32434" w:rsidRPr="0011386D">
        <w:t xml:space="preserve"> </w:t>
      </w:r>
      <w:r w:rsidR="00A32434" w:rsidRPr="0011386D">
        <w:rPr>
          <w:rFonts w:eastAsia="Calibri"/>
          <w:sz w:val="22"/>
          <w:szCs w:val="22"/>
        </w:rPr>
        <w:t xml:space="preserve">the GYEITI Multi-Stakeholder Group (MSG) </w:t>
      </w:r>
      <w:r w:rsidRPr="0011386D">
        <w:rPr>
          <w:rFonts w:eastAsia="Calibri"/>
          <w:sz w:val="22"/>
          <w:szCs w:val="22"/>
        </w:rPr>
        <w:t>has</w:t>
      </w:r>
      <w:r w:rsidRPr="00745DAD">
        <w:rPr>
          <w:rFonts w:eastAsia="Calibri"/>
          <w:sz w:val="22"/>
          <w:szCs w:val="22"/>
        </w:rPr>
        <w:t xml:space="preserve"> advocated for open and transparent license award processes and improved contracting practices, consistent with international best practice.</w:t>
      </w:r>
    </w:p>
    <w:p w14:paraId="6D39009D" w14:textId="77777777" w:rsidR="009E117F" w:rsidRPr="00745DAD" w:rsidRDefault="009E117F" w:rsidP="009E117F">
      <w:pPr>
        <w:spacing w:after="160" w:line="276" w:lineRule="auto"/>
        <w:jc w:val="both"/>
        <w:rPr>
          <w:rFonts w:eastAsia="Calibri"/>
          <w:sz w:val="22"/>
          <w:szCs w:val="22"/>
        </w:rPr>
      </w:pPr>
      <w:r w:rsidRPr="00745DAD">
        <w:rPr>
          <w:rFonts w:eastAsia="Calibri"/>
          <w:sz w:val="22"/>
          <w:szCs w:val="22"/>
        </w:rPr>
        <w:t xml:space="preserve">Despite these achievements, Guyana has experienced challenges in EITI implementation. In February 2023, Guyana was suspended by the EITI Board for failing to publish its 2020 EITI Report by the 31 December 2022 deadline. The suspension was automatically lifted in June 2023 following publication of the outstanding report. Additionally, Guyana received a “Fairly Low” score of 52 out of 100 in the 2021 Validation, with fourteen corrective actions identified. The MSG continues to address these corrective actions and strengthen overall implementation. </w:t>
      </w:r>
    </w:p>
    <w:p w14:paraId="3ED9800B" w14:textId="77777777" w:rsidR="009E117F" w:rsidRPr="00745DAD" w:rsidRDefault="009E117F" w:rsidP="009E117F">
      <w:pPr>
        <w:spacing w:after="160" w:line="276" w:lineRule="auto"/>
        <w:rPr>
          <w:rFonts w:eastAsia="Calibri"/>
          <w:sz w:val="22"/>
          <w:szCs w:val="22"/>
        </w:rPr>
      </w:pPr>
      <w:r w:rsidRPr="00745DAD">
        <w:rPr>
          <w:rFonts w:eastAsia="Calibri"/>
          <w:b/>
          <w:bCs/>
          <w:sz w:val="22"/>
          <w:szCs w:val="22"/>
        </w:rPr>
        <w:t>Scope of This Report</w:t>
      </w:r>
    </w:p>
    <w:p w14:paraId="39120D53" w14:textId="77777777" w:rsidR="009E117F" w:rsidRPr="00745DAD" w:rsidRDefault="009E117F" w:rsidP="009E117F">
      <w:pPr>
        <w:spacing w:after="160" w:line="276" w:lineRule="auto"/>
        <w:jc w:val="both"/>
        <w:rPr>
          <w:rFonts w:eastAsia="Calibri"/>
          <w:sz w:val="22"/>
          <w:szCs w:val="22"/>
        </w:rPr>
      </w:pPr>
      <w:r w:rsidRPr="00745DAD">
        <w:rPr>
          <w:rFonts w:eastAsia="Calibri"/>
          <w:sz w:val="22"/>
          <w:szCs w:val="22"/>
        </w:rPr>
        <w:t>In accordance with Requirement 1.5(b) of the 2023 EITI Standard, implementing countries are required to undertake an annual review of the work plan, considering progress made and challenges encountered.</w:t>
      </w:r>
      <w:r>
        <w:rPr>
          <w:rFonts w:eastAsia="Calibri"/>
          <w:sz w:val="22"/>
          <w:szCs w:val="22"/>
        </w:rPr>
        <w:t xml:space="preserve"> </w:t>
      </w:r>
      <w:r w:rsidRPr="00745DAD">
        <w:rPr>
          <w:rFonts w:eastAsia="Calibri"/>
          <w:sz w:val="22"/>
          <w:szCs w:val="22"/>
        </w:rPr>
        <w:t>This Annual Progress Review, prepared under the 2023 EITI Standard, presents an assessment of GYEITI implementation during FY 2025 under the 2024–2025 Workplan.</w:t>
      </w:r>
    </w:p>
    <w:p w14:paraId="0495EF24" w14:textId="77777777" w:rsidR="009E117F" w:rsidRPr="00745DAD" w:rsidRDefault="009E117F" w:rsidP="009E117F">
      <w:pPr>
        <w:spacing w:line="276" w:lineRule="auto"/>
        <w:rPr>
          <w:rFonts w:eastAsia="Calibri"/>
          <w:sz w:val="22"/>
          <w:szCs w:val="22"/>
        </w:rPr>
      </w:pPr>
      <w:r w:rsidRPr="00745DAD">
        <w:rPr>
          <w:rFonts w:eastAsia="Calibri"/>
          <w:sz w:val="22"/>
          <w:szCs w:val="22"/>
        </w:rPr>
        <w:t>The report is structured as follows:</w:t>
      </w:r>
    </w:p>
    <w:p w14:paraId="0703DE38" w14:textId="77777777" w:rsidR="009E117F" w:rsidRPr="00745DAD" w:rsidRDefault="009E117F" w:rsidP="009E117F">
      <w:pPr>
        <w:numPr>
          <w:ilvl w:val="0"/>
          <w:numId w:val="104"/>
        </w:numPr>
        <w:spacing w:line="276" w:lineRule="auto"/>
        <w:rPr>
          <w:rFonts w:eastAsia="Calibri"/>
          <w:sz w:val="22"/>
          <w:szCs w:val="22"/>
        </w:rPr>
      </w:pPr>
      <w:r w:rsidRPr="00745DAD">
        <w:rPr>
          <w:rFonts w:eastAsia="Calibri"/>
          <w:b/>
          <w:bCs/>
          <w:sz w:val="22"/>
          <w:szCs w:val="22"/>
        </w:rPr>
        <w:t>Section I:</w:t>
      </w:r>
      <w:r w:rsidRPr="00745DAD">
        <w:rPr>
          <w:rFonts w:eastAsia="Calibri"/>
          <w:sz w:val="22"/>
          <w:szCs w:val="22"/>
        </w:rPr>
        <w:t xml:space="preserve"> Assessment of progress against the 2024–2025 GYEITI Workplan</w:t>
      </w:r>
    </w:p>
    <w:p w14:paraId="3A70CF47" w14:textId="77777777" w:rsidR="009E117F" w:rsidRPr="00745DAD" w:rsidRDefault="009E117F" w:rsidP="009E117F">
      <w:pPr>
        <w:numPr>
          <w:ilvl w:val="0"/>
          <w:numId w:val="104"/>
        </w:numPr>
        <w:spacing w:line="276" w:lineRule="auto"/>
        <w:rPr>
          <w:rFonts w:eastAsia="Calibri"/>
          <w:sz w:val="22"/>
          <w:szCs w:val="22"/>
        </w:rPr>
      </w:pPr>
      <w:r w:rsidRPr="00745DAD">
        <w:rPr>
          <w:rFonts w:eastAsia="Calibri"/>
          <w:b/>
          <w:bCs/>
          <w:sz w:val="22"/>
          <w:szCs w:val="22"/>
        </w:rPr>
        <w:t>Section II:</w:t>
      </w:r>
      <w:r w:rsidRPr="00745DAD">
        <w:rPr>
          <w:rFonts w:eastAsia="Calibri"/>
          <w:sz w:val="22"/>
          <w:szCs w:val="22"/>
        </w:rPr>
        <w:t xml:space="preserve"> Progress in meeting the requirements of the 2023 EITI Standard</w:t>
      </w:r>
    </w:p>
    <w:p w14:paraId="14CCB4D5" w14:textId="77777777" w:rsidR="009E117F" w:rsidRPr="00745DAD" w:rsidRDefault="009E117F" w:rsidP="009E117F">
      <w:pPr>
        <w:numPr>
          <w:ilvl w:val="0"/>
          <w:numId w:val="104"/>
        </w:numPr>
        <w:spacing w:line="276" w:lineRule="auto"/>
        <w:rPr>
          <w:rFonts w:eastAsia="Calibri"/>
          <w:sz w:val="22"/>
          <w:szCs w:val="22"/>
        </w:rPr>
      </w:pPr>
      <w:r w:rsidRPr="00745DAD">
        <w:rPr>
          <w:rFonts w:eastAsia="Calibri"/>
          <w:b/>
          <w:bCs/>
          <w:sz w:val="22"/>
          <w:szCs w:val="22"/>
        </w:rPr>
        <w:t>Section III:</w:t>
      </w:r>
      <w:r w:rsidRPr="00745DAD">
        <w:rPr>
          <w:rFonts w:eastAsia="Calibri"/>
          <w:sz w:val="22"/>
          <w:szCs w:val="22"/>
        </w:rPr>
        <w:t xml:space="preserve"> Key strengths and weaknesses in implementation during the reporting period</w:t>
      </w:r>
    </w:p>
    <w:p w14:paraId="0C420149" w14:textId="77777777" w:rsidR="009E117F" w:rsidRDefault="009E117F" w:rsidP="009E117F">
      <w:pPr>
        <w:numPr>
          <w:ilvl w:val="0"/>
          <w:numId w:val="104"/>
        </w:numPr>
        <w:spacing w:line="276" w:lineRule="auto"/>
        <w:rPr>
          <w:rFonts w:eastAsia="Calibri"/>
          <w:sz w:val="22"/>
          <w:szCs w:val="22"/>
        </w:rPr>
      </w:pPr>
      <w:r w:rsidRPr="00745DAD">
        <w:rPr>
          <w:rFonts w:eastAsia="Calibri"/>
          <w:b/>
          <w:bCs/>
          <w:sz w:val="22"/>
          <w:szCs w:val="22"/>
        </w:rPr>
        <w:t>Section IV:</w:t>
      </w:r>
      <w:r w:rsidRPr="00745DAD">
        <w:rPr>
          <w:rFonts w:eastAsia="Calibri"/>
          <w:sz w:val="22"/>
          <w:szCs w:val="22"/>
        </w:rPr>
        <w:t xml:space="preserve"> Activities undertaken by the broader multi-stakeholder constituency</w:t>
      </w:r>
    </w:p>
    <w:p w14:paraId="5B37FFF2" w14:textId="77777777" w:rsidR="009E117F" w:rsidRPr="00745DAD" w:rsidRDefault="009E117F" w:rsidP="009E117F">
      <w:pPr>
        <w:spacing w:line="276" w:lineRule="auto"/>
        <w:ind w:left="720"/>
        <w:rPr>
          <w:rFonts w:eastAsia="Calibri"/>
          <w:sz w:val="22"/>
          <w:szCs w:val="22"/>
        </w:rPr>
      </w:pPr>
    </w:p>
    <w:p w14:paraId="0E62CA1F" w14:textId="77777777" w:rsidR="009E117F" w:rsidRDefault="009E117F" w:rsidP="009E117F">
      <w:pPr>
        <w:spacing w:after="160" w:line="276" w:lineRule="auto"/>
        <w:rPr>
          <w:rFonts w:eastAsia="Calibri"/>
          <w:sz w:val="22"/>
          <w:szCs w:val="22"/>
        </w:rPr>
      </w:pPr>
      <w:r w:rsidRPr="00745DAD">
        <w:rPr>
          <w:rFonts w:eastAsia="Calibri"/>
          <w:sz w:val="22"/>
          <w:szCs w:val="22"/>
        </w:rPr>
        <w:lastRenderedPageBreak/>
        <w:t>The report also includes information on MSG membership during the reporting period and a summary of implementation costs.</w:t>
      </w:r>
    </w:p>
    <w:p w14:paraId="7EF0CD9E" w14:textId="77777777" w:rsidR="009E117F" w:rsidRPr="00745DAD" w:rsidRDefault="009E117F" w:rsidP="009E117F">
      <w:pPr>
        <w:spacing w:after="160" w:line="276" w:lineRule="auto"/>
        <w:rPr>
          <w:rFonts w:eastAsia="Calibri"/>
          <w:sz w:val="22"/>
          <w:szCs w:val="22"/>
        </w:rPr>
      </w:pPr>
      <w:r>
        <w:rPr>
          <w:rFonts w:eastAsia="Calibri"/>
          <w:sz w:val="22"/>
          <w:szCs w:val="22"/>
        </w:rPr>
        <w:t>T</w:t>
      </w:r>
      <w:r w:rsidRPr="00E22FA6">
        <w:rPr>
          <w:rFonts w:eastAsia="Calibri"/>
          <w:sz w:val="22"/>
          <w:szCs w:val="22"/>
        </w:rPr>
        <w:t>o provide context for the activities and progress reviewed, the following section outlines the governance and institutional framework supporting EITI implementation in Guyana.</w:t>
      </w:r>
    </w:p>
    <w:p w14:paraId="770D15BD" w14:textId="77777777" w:rsidR="009E117F" w:rsidRDefault="009E117F" w:rsidP="009E117F">
      <w:pPr>
        <w:spacing w:after="160" w:line="276" w:lineRule="auto"/>
        <w:rPr>
          <w:rFonts w:eastAsia="Calibri"/>
          <w:b/>
          <w:bCs/>
          <w:sz w:val="22"/>
          <w:szCs w:val="22"/>
        </w:rPr>
      </w:pPr>
    </w:p>
    <w:p w14:paraId="4C07F0DD" w14:textId="77777777" w:rsidR="009E117F" w:rsidRPr="00A057C9" w:rsidRDefault="009E117F" w:rsidP="009E117F">
      <w:pPr>
        <w:spacing w:after="160" w:line="276" w:lineRule="auto"/>
        <w:rPr>
          <w:rFonts w:eastAsia="Calibri"/>
          <w:sz w:val="22"/>
          <w:szCs w:val="22"/>
        </w:rPr>
      </w:pPr>
      <w:r w:rsidRPr="00A057C9">
        <w:rPr>
          <w:rFonts w:eastAsia="Calibri"/>
          <w:b/>
          <w:bCs/>
          <w:sz w:val="22"/>
          <w:szCs w:val="22"/>
        </w:rPr>
        <w:t>Governance and Institutional Context</w:t>
      </w:r>
    </w:p>
    <w:p w14:paraId="05F10F56" w14:textId="77777777" w:rsidR="00DD0BD3" w:rsidRPr="00DD0BD3" w:rsidRDefault="00DD0BD3" w:rsidP="00DD0BD3">
      <w:pPr>
        <w:spacing w:after="160" w:line="276" w:lineRule="auto"/>
        <w:jc w:val="both"/>
        <w:rPr>
          <w:rFonts w:eastAsia="Calibri"/>
          <w:sz w:val="22"/>
          <w:szCs w:val="22"/>
          <w:lang/>
        </w:rPr>
      </w:pPr>
      <w:r w:rsidRPr="00DD0BD3">
        <w:rPr>
          <w:rFonts w:eastAsia="Calibri"/>
          <w:sz w:val="22"/>
          <w:szCs w:val="22"/>
          <w:lang/>
        </w:rPr>
        <w:t>The MSG plays a central role in EITI implementation, providing oversight, strategic guidance, and multi-stakeholder coordination. In 2025, a new MSG was installed on 12 August 2025, following the completion of the previous members’ three-year terms. The MSG comprised eight government representatives, eight civil society representatives, and eight industry representatives, with each constituency having four primary members and four alternates.</w:t>
      </w:r>
    </w:p>
    <w:p w14:paraId="0BE61290" w14:textId="77777777" w:rsidR="00DD0BD3" w:rsidRPr="00DD0BD3" w:rsidRDefault="00DD0BD3" w:rsidP="00DD0BD3">
      <w:pPr>
        <w:spacing w:after="160" w:line="276" w:lineRule="auto"/>
        <w:jc w:val="both"/>
        <w:rPr>
          <w:rFonts w:eastAsia="Calibri"/>
          <w:sz w:val="22"/>
          <w:szCs w:val="22"/>
          <w:lang/>
        </w:rPr>
      </w:pPr>
      <w:r w:rsidRPr="00DD0BD3">
        <w:rPr>
          <w:rFonts w:eastAsia="Calibri"/>
          <w:sz w:val="22"/>
          <w:szCs w:val="22"/>
          <w:lang/>
        </w:rPr>
        <w:t>The newly installed MSG members were formally charged with their responsibilities by the EITI Champion and Minister of Natural Resources, the Honorable Vickram Bharrat. Members also received training on the GYEITI Policy Manual and the 2023 EITI Standard, setting the foundation for effective engagement during their terms.</w:t>
      </w:r>
    </w:p>
    <w:p w14:paraId="1462DA42" w14:textId="77777777" w:rsidR="00DD0BD3" w:rsidRPr="00DD0BD3" w:rsidRDefault="00DD0BD3" w:rsidP="00DD0BD3">
      <w:pPr>
        <w:spacing w:after="160" w:line="276" w:lineRule="auto"/>
        <w:jc w:val="both"/>
        <w:rPr>
          <w:rFonts w:eastAsia="Calibri"/>
          <w:sz w:val="22"/>
          <w:szCs w:val="22"/>
          <w:lang/>
        </w:rPr>
      </w:pPr>
      <w:r w:rsidRPr="00DD0BD3">
        <w:rPr>
          <w:rFonts w:eastAsia="Calibri"/>
          <w:sz w:val="22"/>
          <w:szCs w:val="22"/>
          <w:lang/>
        </w:rPr>
        <w:t>Two civil society organizations (CSOs), namely Policy Forum Guyana (PFG) and Guyana Human Rights Association (GHRA), raised concerns regarding the selection and composition of civic representatives, citing conflicts of interest due to the convenor’s association with the private sector and the inclusion of the Private Sector Commission. In response, the Champion appointed a mediator to ensure full representation of civil society. All parties subsequently agreed to relaunch the civic selection process.</w:t>
      </w:r>
    </w:p>
    <w:p w14:paraId="2F5BD571" w14:textId="77777777" w:rsidR="00DD0BD3" w:rsidRPr="00DD0BD3" w:rsidRDefault="00DD0BD3" w:rsidP="00DD0BD3">
      <w:pPr>
        <w:spacing w:line="276" w:lineRule="auto"/>
        <w:jc w:val="both"/>
        <w:rPr>
          <w:rFonts w:eastAsia="Calibri"/>
          <w:sz w:val="22"/>
          <w:szCs w:val="22"/>
          <w:lang/>
        </w:rPr>
      </w:pPr>
      <w:r w:rsidRPr="00DD0BD3">
        <w:rPr>
          <w:rFonts w:eastAsia="Calibri"/>
          <w:sz w:val="22"/>
          <w:szCs w:val="22"/>
          <w:lang/>
        </w:rPr>
        <w:t>In October 2025, a new convenor was appointed following a widely publicized recruitment process. During the civic caucusing in November 2025, participants agreed on rules and guidelines for the selection of new members. Five new civil society members were selected, namely:</w:t>
      </w:r>
    </w:p>
    <w:p w14:paraId="7118241E" w14:textId="77777777" w:rsidR="00DD0BD3" w:rsidRPr="00DD0BD3" w:rsidRDefault="00DD0BD3" w:rsidP="00DD0BD3">
      <w:pPr>
        <w:numPr>
          <w:ilvl w:val="0"/>
          <w:numId w:val="111"/>
        </w:numPr>
        <w:spacing w:line="276" w:lineRule="auto"/>
        <w:rPr>
          <w:rFonts w:eastAsia="Calibri"/>
          <w:sz w:val="22"/>
          <w:szCs w:val="22"/>
          <w:lang/>
        </w:rPr>
      </w:pPr>
      <w:r w:rsidRPr="00DD0BD3">
        <w:rPr>
          <w:rFonts w:eastAsia="Calibri"/>
          <w:sz w:val="22"/>
          <w:szCs w:val="22"/>
          <w:lang/>
        </w:rPr>
        <w:t xml:space="preserve">Mr. Balraj Budwah (Guyana Hindu Dharmic Sabha) </w:t>
      </w:r>
    </w:p>
    <w:p w14:paraId="462E8B75" w14:textId="77777777" w:rsidR="00DD0BD3" w:rsidRPr="00DD0BD3" w:rsidRDefault="00DD0BD3" w:rsidP="00DD0BD3">
      <w:pPr>
        <w:numPr>
          <w:ilvl w:val="0"/>
          <w:numId w:val="111"/>
        </w:numPr>
        <w:spacing w:line="276" w:lineRule="auto"/>
        <w:rPr>
          <w:rFonts w:eastAsia="Calibri"/>
          <w:sz w:val="22"/>
          <w:szCs w:val="22"/>
          <w:lang/>
        </w:rPr>
      </w:pPr>
      <w:r w:rsidRPr="00DD0BD3">
        <w:rPr>
          <w:rFonts w:eastAsia="Calibri"/>
          <w:sz w:val="22"/>
          <w:szCs w:val="22"/>
          <w:lang/>
        </w:rPr>
        <w:t xml:space="preserve">Mr. Derrick John (National Toshaos Council) </w:t>
      </w:r>
    </w:p>
    <w:p w14:paraId="02A8EB63" w14:textId="77777777" w:rsidR="00DD0BD3" w:rsidRPr="00DD0BD3" w:rsidRDefault="00DD0BD3" w:rsidP="00DD0BD3">
      <w:pPr>
        <w:numPr>
          <w:ilvl w:val="0"/>
          <w:numId w:val="111"/>
        </w:numPr>
        <w:spacing w:line="276" w:lineRule="auto"/>
        <w:rPr>
          <w:rFonts w:eastAsia="Calibri"/>
          <w:sz w:val="22"/>
          <w:szCs w:val="22"/>
          <w:lang/>
        </w:rPr>
      </w:pPr>
      <w:r w:rsidRPr="00DD0BD3">
        <w:rPr>
          <w:rFonts w:eastAsia="Calibri"/>
          <w:sz w:val="22"/>
          <w:szCs w:val="22"/>
          <w:lang/>
        </w:rPr>
        <w:t xml:space="preserve">Mr. Shane Cornelius (National Toshaos Council) </w:t>
      </w:r>
    </w:p>
    <w:p w14:paraId="255AED50" w14:textId="77777777" w:rsidR="00DD0BD3" w:rsidRPr="00DD0BD3" w:rsidRDefault="00DD0BD3" w:rsidP="00DD0BD3">
      <w:pPr>
        <w:numPr>
          <w:ilvl w:val="0"/>
          <w:numId w:val="111"/>
        </w:numPr>
        <w:spacing w:line="276" w:lineRule="auto"/>
        <w:rPr>
          <w:rFonts w:eastAsia="Calibri"/>
          <w:sz w:val="22"/>
          <w:szCs w:val="22"/>
          <w:lang/>
        </w:rPr>
      </w:pPr>
      <w:r w:rsidRPr="00DD0BD3">
        <w:rPr>
          <w:rFonts w:eastAsia="Calibri"/>
          <w:sz w:val="22"/>
          <w:szCs w:val="22"/>
          <w:lang/>
        </w:rPr>
        <w:t xml:space="preserve">Ms. Madhavi Indarjeet (Guyana Youth Environment Network) </w:t>
      </w:r>
    </w:p>
    <w:p w14:paraId="2C4EE052" w14:textId="77777777" w:rsidR="00DD0BD3" w:rsidRPr="003B4457" w:rsidRDefault="00DD0BD3" w:rsidP="00DD0BD3">
      <w:pPr>
        <w:numPr>
          <w:ilvl w:val="0"/>
          <w:numId w:val="111"/>
        </w:numPr>
        <w:spacing w:line="276" w:lineRule="auto"/>
        <w:rPr>
          <w:rFonts w:eastAsia="Calibri"/>
          <w:sz w:val="22"/>
          <w:szCs w:val="22"/>
          <w:lang/>
        </w:rPr>
      </w:pPr>
      <w:r w:rsidRPr="00DD0BD3">
        <w:rPr>
          <w:rFonts w:eastAsia="Calibri"/>
          <w:sz w:val="22"/>
          <w:szCs w:val="22"/>
          <w:lang/>
        </w:rPr>
        <w:t xml:space="preserve">Mr. Aslim Singh (Guyana Agricultural and General Workers Union) </w:t>
      </w:r>
    </w:p>
    <w:p w14:paraId="4840DD4E" w14:textId="77777777" w:rsidR="003B4457" w:rsidRPr="00DD0BD3" w:rsidRDefault="003B4457" w:rsidP="003B4457">
      <w:pPr>
        <w:spacing w:line="276" w:lineRule="auto"/>
        <w:ind w:left="720"/>
        <w:rPr>
          <w:rFonts w:eastAsia="Calibri"/>
          <w:sz w:val="22"/>
          <w:szCs w:val="22"/>
          <w:lang/>
        </w:rPr>
      </w:pPr>
    </w:p>
    <w:p w14:paraId="6900747E" w14:textId="77777777" w:rsidR="00DD0BD3" w:rsidRPr="00DD0BD3" w:rsidRDefault="00DD0BD3" w:rsidP="003B4457">
      <w:pPr>
        <w:spacing w:after="160" w:line="276" w:lineRule="auto"/>
        <w:jc w:val="both"/>
        <w:rPr>
          <w:rFonts w:eastAsia="Calibri"/>
          <w:sz w:val="22"/>
          <w:szCs w:val="22"/>
          <w:lang/>
        </w:rPr>
      </w:pPr>
      <w:r w:rsidRPr="00DD0BD3">
        <w:rPr>
          <w:rFonts w:eastAsia="Calibri"/>
          <w:sz w:val="22"/>
          <w:szCs w:val="22"/>
          <w:lang/>
        </w:rPr>
        <w:t>However, PFG and GHRA boycotted the selection process, and by 31 December 2025, the full civil society membership had not been appointed. This affected the functioning of certain committees, including Communications and Legal and Regulatory, as members were required to serve on multiple committees.</w:t>
      </w:r>
    </w:p>
    <w:p w14:paraId="5181E348" w14:textId="77777777" w:rsidR="00DD0BD3" w:rsidRPr="00DD0BD3" w:rsidRDefault="00DD0BD3" w:rsidP="003B4457">
      <w:pPr>
        <w:spacing w:after="160" w:line="276" w:lineRule="auto"/>
        <w:jc w:val="both"/>
        <w:rPr>
          <w:rFonts w:eastAsia="Calibri"/>
          <w:sz w:val="22"/>
          <w:szCs w:val="22"/>
          <w:lang/>
        </w:rPr>
      </w:pPr>
      <w:r w:rsidRPr="00DD0BD3">
        <w:rPr>
          <w:rFonts w:eastAsia="Calibri"/>
          <w:sz w:val="22"/>
          <w:szCs w:val="22"/>
          <w:lang/>
        </w:rPr>
        <w:t>The MSG continues to serve on a voluntary basis, meeting statutorily on a monthly basis, with chairmanship rotated among the three constituencies every four months.</w:t>
      </w:r>
    </w:p>
    <w:p w14:paraId="2BAE4796" w14:textId="77777777" w:rsidR="009E117F" w:rsidRPr="00A057C9" w:rsidRDefault="009E117F" w:rsidP="009E117F">
      <w:pPr>
        <w:spacing w:after="160" w:line="276" w:lineRule="auto"/>
        <w:rPr>
          <w:rFonts w:eastAsia="Calibri"/>
          <w:sz w:val="22"/>
          <w:szCs w:val="22"/>
        </w:rPr>
      </w:pPr>
      <w:r w:rsidRPr="00A057C9">
        <w:rPr>
          <w:rFonts w:eastAsia="Calibri"/>
          <w:b/>
          <w:bCs/>
          <w:sz w:val="22"/>
          <w:szCs w:val="22"/>
        </w:rPr>
        <w:t>The GYEITI Secretariat</w:t>
      </w:r>
    </w:p>
    <w:p w14:paraId="57FD0F73" w14:textId="684D84A3" w:rsidR="009E117F" w:rsidRDefault="009E117F" w:rsidP="009E117F">
      <w:pPr>
        <w:spacing w:after="160" w:line="276" w:lineRule="auto"/>
        <w:jc w:val="both"/>
        <w:rPr>
          <w:rFonts w:eastAsia="Calibri"/>
          <w:sz w:val="22"/>
          <w:szCs w:val="22"/>
        </w:rPr>
      </w:pPr>
      <w:r w:rsidRPr="00A057C9">
        <w:rPr>
          <w:rFonts w:eastAsia="Calibri"/>
          <w:sz w:val="22"/>
          <w:szCs w:val="22"/>
        </w:rPr>
        <w:t xml:space="preserve">The GYEITI Secretariat, headed by a National Coordinator and supported by six staff members, provides technical and operational support for EITI implementation. The current human resource composition </w:t>
      </w:r>
      <w:r w:rsidRPr="00A057C9">
        <w:rPr>
          <w:rFonts w:eastAsia="Calibri"/>
          <w:sz w:val="22"/>
          <w:szCs w:val="22"/>
        </w:rPr>
        <w:lastRenderedPageBreak/>
        <w:t xml:space="preserve">imposes significant constraints on the Secretariat’s capacity to undertake technical work. To address this, technical support is provided through consultancies funded by the World Bank under </w:t>
      </w:r>
      <w:r w:rsidRPr="00DE6292">
        <w:rPr>
          <w:rFonts w:eastAsia="Calibri"/>
          <w:sz w:val="22"/>
          <w:szCs w:val="22"/>
        </w:rPr>
        <w:t xml:space="preserve">the </w:t>
      </w:r>
      <w:r w:rsidRPr="00596F68">
        <w:rPr>
          <w:rFonts w:eastAsia="Calibri"/>
          <w:sz w:val="22"/>
          <w:szCs w:val="22"/>
        </w:rPr>
        <w:t>G</w:t>
      </w:r>
      <w:r w:rsidR="00DE6292" w:rsidRPr="00596F68">
        <w:rPr>
          <w:rFonts w:eastAsia="Calibri"/>
          <w:sz w:val="22"/>
          <w:szCs w:val="22"/>
        </w:rPr>
        <w:t xml:space="preserve">PRGMP </w:t>
      </w:r>
      <w:r w:rsidRPr="00596F68">
        <w:rPr>
          <w:rFonts w:eastAsia="Calibri"/>
          <w:sz w:val="22"/>
          <w:szCs w:val="22"/>
        </w:rPr>
        <w:t>Project.</w:t>
      </w:r>
      <w:r w:rsidRPr="0023448D">
        <w:rPr>
          <w:rFonts w:eastAsia="Calibri"/>
          <w:sz w:val="22"/>
          <w:szCs w:val="22"/>
          <w:shd w:val="clear" w:color="auto" w:fill="EE0000"/>
        </w:rPr>
        <w:t xml:space="preserve"> </w:t>
      </w:r>
    </w:p>
    <w:p w14:paraId="224683F9" w14:textId="2268A86E" w:rsidR="009E117F" w:rsidRPr="00A057C9" w:rsidRDefault="009E117F" w:rsidP="009E117F">
      <w:pPr>
        <w:spacing w:after="160" w:line="276" w:lineRule="auto"/>
        <w:jc w:val="both"/>
        <w:rPr>
          <w:rFonts w:eastAsia="Calibri"/>
          <w:sz w:val="22"/>
          <w:szCs w:val="22"/>
        </w:rPr>
      </w:pPr>
      <w:r w:rsidRPr="00A057C9">
        <w:rPr>
          <w:rFonts w:eastAsia="Calibri"/>
          <w:sz w:val="22"/>
          <w:szCs w:val="22"/>
        </w:rPr>
        <w:t>In 2025, support focused on capacity building for the MSG and Secretariat, mainstreaming EITI disclosures, assessing the impact of artisanal and small-scale mining (ASM) and its integration into GYEITI disclosures, and preparation for Guyana’s second Validation. Consultant Sam Tokpah, with extensive experience at both the EITI International Secretariat and member countries, provided guidance and technical</w:t>
      </w:r>
      <w:r w:rsidR="007D2F66">
        <w:rPr>
          <w:rFonts w:eastAsia="Calibri"/>
          <w:sz w:val="22"/>
          <w:szCs w:val="22"/>
        </w:rPr>
        <w:t xml:space="preserve"> </w:t>
      </w:r>
      <w:r w:rsidR="00A226FC">
        <w:rPr>
          <w:rFonts w:eastAsia="Calibri"/>
          <w:sz w:val="22"/>
          <w:szCs w:val="22"/>
        </w:rPr>
        <w:t>support</w:t>
      </w:r>
      <w:r w:rsidRPr="00A057C9">
        <w:rPr>
          <w:rFonts w:eastAsia="Calibri"/>
          <w:sz w:val="22"/>
          <w:szCs w:val="22"/>
        </w:rPr>
        <w:t>.</w:t>
      </w:r>
    </w:p>
    <w:p w14:paraId="0641AF18" w14:textId="77777777" w:rsidR="009E117F" w:rsidRPr="00A057C9" w:rsidRDefault="009E117F" w:rsidP="009E117F">
      <w:pPr>
        <w:spacing w:after="160" w:line="276" w:lineRule="auto"/>
        <w:rPr>
          <w:rFonts w:eastAsia="Calibri"/>
          <w:sz w:val="22"/>
          <w:szCs w:val="22"/>
        </w:rPr>
      </w:pPr>
      <w:r w:rsidRPr="00A057C9">
        <w:rPr>
          <w:rFonts w:eastAsia="Calibri"/>
          <w:b/>
          <w:bCs/>
          <w:sz w:val="22"/>
          <w:szCs w:val="22"/>
        </w:rPr>
        <w:t>Assessment of Progress Against the 2024–2025 GYEITI Workplan</w:t>
      </w:r>
    </w:p>
    <w:p w14:paraId="20E6D1B6" w14:textId="77777777" w:rsidR="009E117F" w:rsidRPr="00A057C9" w:rsidRDefault="009E117F" w:rsidP="00492A01">
      <w:pPr>
        <w:spacing w:line="276" w:lineRule="auto"/>
        <w:jc w:val="both"/>
        <w:rPr>
          <w:rFonts w:eastAsia="Calibri"/>
          <w:sz w:val="22"/>
          <w:szCs w:val="22"/>
        </w:rPr>
      </w:pPr>
      <w:r w:rsidRPr="00A057C9">
        <w:rPr>
          <w:rFonts w:eastAsia="Calibri"/>
          <w:sz w:val="22"/>
          <w:szCs w:val="22"/>
        </w:rPr>
        <w:t>During FY 2025, the MSG and GYEITI Secretariat undertook the following key activities:</w:t>
      </w:r>
    </w:p>
    <w:p w14:paraId="5207EA1D" w14:textId="615FA727" w:rsidR="009E117F" w:rsidRPr="00A057C9" w:rsidRDefault="009E117F" w:rsidP="009E117F">
      <w:pPr>
        <w:numPr>
          <w:ilvl w:val="0"/>
          <w:numId w:val="105"/>
        </w:numPr>
        <w:spacing w:line="276" w:lineRule="auto"/>
        <w:jc w:val="both"/>
        <w:rPr>
          <w:rFonts w:eastAsia="Calibri"/>
          <w:sz w:val="22"/>
          <w:szCs w:val="22"/>
        </w:rPr>
      </w:pPr>
      <w:r w:rsidRPr="00A057C9">
        <w:rPr>
          <w:rFonts w:eastAsia="Calibri"/>
          <w:sz w:val="22"/>
          <w:szCs w:val="22"/>
        </w:rPr>
        <w:t xml:space="preserve">MSG Workplan FY 2025: </w:t>
      </w:r>
      <w:r w:rsidR="002D3512" w:rsidRPr="002D3512">
        <w:rPr>
          <w:rFonts w:eastAsia="Calibri"/>
          <w:sz w:val="22"/>
          <w:szCs w:val="22"/>
        </w:rPr>
        <w:t>Strategic oversight of the implementation of the approved FY 2025 Workplan, with the Secretariat coordinating execution and reporting on progress against agreed activities, timelines, and outputs.</w:t>
      </w:r>
      <w:r w:rsidR="002D3512">
        <w:rPr>
          <w:rFonts w:eastAsia="Calibri"/>
          <w:sz w:val="22"/>
          <w:szCs w:val="22"/>
        </w:rPr>
        <w:t xml:space="preserve"> </w:t>
      </w:r>
    </w:p>
    <w:p w14:paraId="14AD40D1" w14:textId="77777777" w:rsidR="009E117F" w:rsidRPr="00A057C9" w:rsidRDefault="009E117F" w:rsidP="009E117F">
      <w:pPr>
        <w:numPr>
          <w:ilvl w:val="0"/>
          <w:numId w:val="105"/>
        </w:numPr>
        <w:spacing w:line="276" w:lineRule="auto"/>
        <w:jc w:val="both"/>
        <w:rPr>
          <w:rFonts w:eastAsia="Calibri"/>
          <w:sz w:val="22"/>
          <w:szCs w:val="22"/>
        </w:rPr>
      </w:pPr>
      <w:r w:rsidRPr="00A057C9">
        <w:rPr>
          <w:rFonts w:eastAsia="Calibri"/>
          <w:sz w:val="22"/>
          <w:szCs w:val="22"/>
        </w:rPr>
        <w:t>Annual Progress Review (APR) 2024: Review and reporting on implementation outcomes and challenges, forming the basis for the FY 2025 workplan.</w:t>
      </w:r>
    </w:p>
    <w:p w14:paraId="559C4314" w14:textId="77777777" w:rsidR="009E117F" w:rsidRPr="00A057C9" w:rsidRDefault="009E117F" w:rsidP="009E117F">
      <w:pPr>
        <w:numPr>
          <w:ilvl w:val="0"/>
          <w:numId w:val="105"/>
        </w:numPr>
        <w:spacing w:line="276" w:lineRule="auto"/>
        <w:jc w:val="both"/>
        <w:rPr>
          <w:rFonts w:eastAsia="Calibri"/>
          <w:sz w:val="22"/>
          <w:szCs w:val="22"/>
        </w:rPr>
      </w:pPr>
      <w:r w:rsidRPr="00A057C9">
        <w:rPr>
          <w:rFonts w:eastAsia="Calibri"/>
          <w:sz w:val="22"/>
          <w:szCs w:val="22"/>
        </w:rPr>
        <w:t>MSG New Members Orientation: Orientation and training sessions for newly appointed MSG members on the Policy Manual, roles, responsibilities, and EITI Standard requirements.</w:t>
      </w:r>
    </w:p>
    <w:p w14:paraId="66C63619" w14:textId="77777777" w:rsidR="009E117F" w:rsidRPr="00A057C9" w:rsidRDefault="009E117F" w:rsidP="009E117F">
      <w:pPr>
        <w:numPr>
          <w:ilvl w:val="0"/>
          <w:numId w:val="105"/>
        </w:numPr>
        <w:spacing w:line="276" w:lineRule="auto"/>
        <w:jc w:val="both"/>
        <w:rPr>
          <w:rFonts w:eastAsia="Calibri"/>
          <w:sz w:val="22"/>
          <w:szCs w:val="22"/>
        </w:rPr>
      </w:pPr>
      <w:r w:rsidRPr="00A057C9">
        <w:rPr>
          <w:rFonts w:eastAsia="Calibri"/>
          <w:sz w:val="22"/>
          <w:szCs w:val="22"/>
        </w:rPr>
        <w:t>EITI Training for Local Journalists: Capacity building sessions to improve understanding of extractive sector transparency, reporting, and dissemination.</w:t>
      </w:r>
    </w:p>
    <w:p w14:paraId="5D164322" w14:textId="77777777" w:rsidR="009E117F" w:rsidRPr="00A057C9" w:rsidRDefault="009E117F" w:rsidP="009E117F">
      <w:pPr>
        <w:numPr>
          <w:ilvl w:val="0"/>
          <w:numId w:val="105"/>
        </w:numPr>
        <w:spacing w:line="276" w:lineRule="auto"/>
        <w:jc w:val="both"/>
        <w:rPr>
          <w:rFonts w:eastAsia="Calibri"/>
          <w:sz w:val="22"/>
          <w:szCs w:val="22"/>
        </w:rPr>
      </w:pPr>
      <w:r w:rsidRPr="00A057C9">
        <w:rPr>
          <w:rFonts w:eastAsia="Calibri"/>
          <w:sz w:val="22"/>
          <w:szCs w:val="22"/>
        </w:rPr>
        <w:t>Support to Government Entities: Technical support to three key agencies — EPA, GGB, and GGMC — on mainstreaming EITI disclosures into their reporting systems.</w:t>
      </w:r>
    </w:p>
    <w:p w14:paraId="3A1A5854" w14:textId="77777777" w:rsidR="009E117F" w:rsidRPr="00A057C9" w:rsidRDefault="009E117F" w:rsidP="009E117F">
      <w:pPr>
        <w:numPr>
          <w:ilvl w:val="0"/>
          <w:numId w:val="105"/>
        </w:numPr>
        <w:spacing w:line="276" w:lineRule="auto"/>
        <w:jc w:val="both"/>
        <w:rPr>
          <w:rFonts w:eastAsia="Calibri"/>
          <w:sz w:val="22"/>
          <w:szCs w:val="22"/>
        </w:rPr>
      </w:pPr>
      <w:r w:rsidRPr="00A057C9">
        <w:rPr>
          <w:rFonts w:eastAsia="Calibri"/>
          <w:sz w:val="22"/>
          <w:szCs w:val="22"/>
        </w:rPr>
        <w:t xml:space="preserve">Approval of FY 2023 EITI Report: Review, reconciliation, and formal MSG approval of </w:t>
      </w:r>
      <w:r w:rsidRPr="003A2A00">
        <w:rPr>
          <w:rFonts w:eastAsia="Calibri"/>
          <w:sz w:val="22"/>
          <w:szCs w:val="22"/>
        </w:rPr>
        <w:t>the report.</w:t>
      </w:r>
    </w:p>
    <w:p w14:paraId="1FBB545A" w14:textId="77777777" w:rsidR="009E117F" w:rsidRPr="003A2A00" w:rsidRDefault="009E117F" w:rsidP="009E117F">
      <w:pPr>
        <w:numPr>
          <w:ilvl w:val="0"/>
          <w:numId w:val="105"/>
        </w:numPr>
        <w:spacing w:line="276" w:lineRule="auto"/>
        <w:jc w:val="both"/>
        <w:rPr>
          <w:rFonts w:eastAsia="Calibri"/>
          <w:sz w:val="22"/>
          <w:szCs w:val="22"/>
        </w:rPr>
      </w:pPr>
      <w:r w:rsidRPr="00A057C9">
        <w:rPr>
          <w:rFonts w:eastAsia="Calibri"/>
          <w:sz w:val="22"/>
          <w:szCs w:val="22"/>
        </w:rPr>
        <w:t xml:space="preserve">Validation Templates: </w:t>
      </w:r>
      <w:r w:rsidRPr="003A2A00">
        <w:rPr>
          <w:rFonts w:eastAsia="Calibri"/>
          <w:sz w:val="22"/>
          <w:szCs w:val="22"/>
        </w:rPr>
        <w:t>Completion of three template sets covering Transparency, Outcomes and Impacts, and Stakeholder Engagement.</w:t>
      </w:r>
    </w:p>
    <w:p w14:paraId="709FBF42" w14:textId="77777777" w:rsidR="009E117F" w:rsidRPr="00A057C9" w:rsidRDefault="009E117F" w:rsidP="009E117F">
      <w:pPr>
        <w:numPr>
          <w:ilvl w:val="0"/>
          <w:numId w:val="105"/>
        </w:numPr>
        <w:spacing w:line="276" w:lineRule="auto"/>
        <w:jc w:val="both"/>
        <w:rPr>
          <w:rFonts w:eastAsia="Calibri"/>
          <w:sz w:val="22"/>
          <w:szCs w:val="22"/>
        </w:rPr>
      </w:pPr>
      <w:r w:rsidRPr="00A057C9">
        <w:rPr>
          <w:rFonts w:eastAsia="Calibri"/>
          <w:sz w:val="22"/>
          <w:szCs w:val="22"/>
        </w:rPr>
        <w:t>Capacity Building for GYEITI Staff: Enhancing technical and operational competencies within the Secretariat</w:t>
      </w:r>
      <w:r w:rsidRPr="003A2A00">
        <w:rPr>
          <w:rFonts w:eastAsia="Calibri"/>
          <w:sz w:val="22"/>
          <w:szCs w:val="22"/>
        </w:rPr>
        <w:t>.</w:t>
      </w:r>
    </w:p>
    <w:p w14:paraId="34C6B764" w14:textId="0935CF07" w:rsidR="009E117F" w:rsidRPr="00601A25" w:rsidRDefault="00A638EF" w:rsidP="00601A25">
      <w:pPr>
        <w:numPr>
          <w:ilvl w:val="0"/>
          <w:numId w:val="105"/>
        </w:numPr>
        <w:spacing w:line="276" w:lineRule="auto"/>
        <w:jc w:val="both"/>
        <w:rPr>
          <w:rFonts w:eastAsia="Calibri"/>
          <w:sz w:val="22"/>
          <w:szCs w:val="22"/>
        </w:rPr>
      </w:pPr>
      <w:r w:rsidRPr="00A638EF">
        <w:rPr>
          <w:rFonts w:eastAsia="Calibri"/>
          <w:sz w:val="22"/>
          <w:szCs w:val="22"/>
        </w:rPr>
        <w:t xml:space="preserve">Assessment and Integration of ASM: Development of a first draft Terms of Reference (TOR) for an ASM study, aimed at assessing the sector and guiding the creation of reporting mechanisms and structured guidance to integrate ASM data into the broader GYEITI reporting </w:t>
      </w:r>
      <w:r w:rsidR="0059244D" w:rsidRPr="00A638EF">
        <w:rPr>
          <w:rFonts w:eastAsia="Calibri"/>
          <w:sz w:val="22"/>
          <w:szCs w:val="22"/>
        </w:rPr>
        <w:t>framework.</w:t>
      </w:r>
    </w:p>
    <w:p w14:paraId="46763E36" w14:textId="77777777" w:rsidR="009E117F" w:rsidRPr="00A057C9" w:rsidRDefault="009E117F" w:rsidP="00492A01">
      <w:pPr>
        <w:spacing w:line="276" w:lineRule="auto"/>
        <w:jc w:val="both"/>
        <w:rPr>
          <w:rFonts w:eastAsia="Calibri"/>
          <w:sz w:val="22"/>
          <w:szCs w:val="22"/>
        </w:rPr>
      </w:pPr>
    </w:p>
    <w:p w14:paraId="413D7103" w14:textId="77777777" w:rsidR="009E117F" w:rsidRPr="00A057C9" w:rsidRDefault="009E117F" w:rsidP="009E117F">
      <w:pPr>
        <w:spacing w:line="276" w:lineRule="auto"/>
        <w:jc w:val="both"/>
        <w:rPr>
          <w:rFonts w:eastAsia="Calibri"/>
          <w:sz w:val="22"/>
          <w:szCs w:val="22"/>
        </w:rPr>
      </w:pPr>
      <w:r w:rsidRPr="00A057C9">
        <w:rPr>
          <w:rFonts w:eastAsia="Calibri"/>
          <w:sz w:val="22"/>
          <w:szCs w:val="22"/>
        </w:rPr>
        <w:t>These activities ensured continuous progress in meeting EITI requirements and strengthened MSG engagement, Secretariat capacity, and stakeholder collaboration.</w:t>
      </w:r>
    </w:p>
    <w:p w14:paraId="1AAA91AD" w14:textId="2C6BA3A4" w:rsidR="00EB2509" w:rsidRPr="00C40E52" w:rsidRDefault="00EB2509" w:rsidP="00B33093">
      <w:pPr>
        <w:spacing w:after="160" w:line="276" w:lineRule="auto"/>
        <w:rPr>
          <w:b/>
          <w:bCs/>
          <w:color w:val="2F5496"/>
          <w:sz w:val="22"/>
          <w:szCs w:val="22"/>
        </w:rPr>
      </w:pPr>
    </w:p>
    <w:p w14:paraId="0B6BCEBE" w14:textId="29248311" w:rsidR="00EB2509" w:rsidRPr="008F1C1C" w:rsidRDefault="00532AB8" w:rsidP="006C2062">
      <w:pPr>
        <w:pStyle w:val="Heading1"/>
        <w:shd w:val="clear" w:color="auto" w:fill="45B0E1" w:themeFill="accent1" w:themeFillTint="99"/>
        <w:spacing w:line="276" w:lineRule="auto"/>
        <w:rPr>
          <w:b/>
          <w:bCs/>
          <w:sz w:val="28"/>
          <w:szCs w:val="28"/>
        </w:rPr>
      </w:pPr>
      <w:bookmarkStart w:id="8" w:name="_Toc225776187"/>
      <w:r w:rsidRPr="008F1C1C">
        <w:rPr>
          <w:b/>
          <w:bCs/>
          <w:sz w:val="28"/>
          <w:szCs w:val="28"/>
        </w:rPr>
        <w:t>Progress and Challenges</w:t>
      </w:r>
      <w:bookmarkEnd w:id="7"/>
      <w:r w:rsidR="00464B33">
        <w:rPr>
          <w:b/>
          <w:bCs/>
          <w:sz w:val="28"/>
          <w:szCs w:val="28"/>
        </w:rPr>
        <w:t xml:space="preserve"> – FY 2025</w:t>
      </w:r>
      <w:bookmarkEnd w:id="8"/>
      <w:r w:rsidRPr="008F1C1C">
        <w:rPr>
          <w:b/>
          <w:bCs/>
          <w:sz w:val="28"/>
          <w:szCs w:val="28"/>
        </w:rPr>
        <w:t xml:space="preserve"> </w:t>
      </w:r>
    </w:p>
    <w:p w14:paraId="6F4E539F" w14:textId="77777777" w:rsidR="00464B33" w:rsidRPr="005871C9" w:rsidRDefault="00464B33" w:rsidP="005871C9">
      <w:pPr>
        <w:pStyle w:val="APR"/>
      </w:pPr>
      <w:bookmarkStart w:id="9" w:name="_Toc225776188"/>
      <w:r w:rsidRPr="005871C9">
        <w:t>1. Publication of the FY 2023 EITI Report</w:t>
      </w:r>
      <w:bookmarkEnd w:id="9"/>
    </w:p>
    <w:p w14:paraId="62C83B23" w14:textId="65119968" w:rsidR="004A444D" w:rsidRPr="00597F44" w:rsidRDefault="004A444D" w:rsidP="00464B33">
      <w:pPr>
        <w:spacing w:line="276" w:lineRule="auto"/>
        <w:jc w:val="both"/>
        <w:rPr>
          <w:rFonts w:eastAsia="Calibri"/>
          <w:sz w:val="22"/>
          <w:szCs w:val="22"/>
          <w:shd w:val="clear" w:color="auto" w:fill="FFFFFF"/>
        </w:rPr>
      </w:pPr>
      <w:r w:rsidRPr="004A444D">
        <w:rPr>
          <w:rFonts w:eastAsia="Calibri"/>
          <w:sz w:val="22"/>
          <w:szCs w:val="22"/>
          <w:shd w:val="clear" w:color="auto" w:fill="FFFFFF"/>
        </w:rPr>
        <w:t>On 31 December 2025, the MSG approved and published the FY 2023 Guyana EITI Report. The approval followed detailed deliberations to ensure alignment with the 2023 EITI Standard. This publication represented one of the most significant deliverables under the 2024–2025 Work Plan and marked continued progress in restoring timeliness and strengthening compliance following earlier reporting delays.</w:t>
      </w:r>
    </w:p>
    <w:p w14:paraId="3BA082E7" w14:textId="77777777" w:rsidR="00DE7649" w:rsidRPr="00DE7649" w:rsidRDefault="00DE7649" w:rsidP="005871C9">
      <w:pPr>
        <w:pStyle w:val="APR"/>
      </w:pPr>
      <w:bookmarkStart w:id="10" w:name="_Toc225776189"/>
      <w:r w:rsidRPr="00DE7649">
        <w:lastRenderedPageBreak/>
        <w:t>2. Website Strengthening and Public Accessibility</w:t>
      </w:r>
      <w:bookmarkEnd w:id="10"/>
    </w:p>
    <w:p w14:paraId="3D75CA08" w14:textId="382CE0D6" w:rsidR="00D65726" w:rsidRDefault="004716CF" w:rsidP="00DE7649">
      <w:pPr>
        <w:spacing w:line="276" w:lineRule="auto"/>
        <w:jc w:val="both"/>
        <w:rPr>
          <w:sz w:val="22"/>
          <w:szCs w:val="22"/>
        </w:rPr>
      </w:pPr>
      <w:r w:rsidRPr="004716CF">
        <w:rPr>
          <w:sz w:val="22"/>
          <w:szCs w:val="22"/>
        </w:rPr>
        <w:t>In 2025, the Secretariat prioritized enhancing the GYEITI website to improve accessibility, transparency, and user experience. Key policies, reports, work plans, and other disclosure documents were uploaded and structured to ensure easy access for stakeholders and the public.</w:t>
      </w:r>
    </w:p>
    <w:p w14:paraId="4EA7D4FE" w14:textId="77777777" w:rsidR="004716CF" w:rsidRPr="004716CF" w:rsidRDefault="004716CF" w:rsidP="004716CF">
      <w:pPr>
        <w:spacing w:line="276" w:lineRule="auto"/>
        <w:jc w:val="both"/>
        <w:rPr>
          <w:b/>
          <w:bCs/>
          <w:sz w:val="22"/>
          <w:szCs w:val="22"/>
        </w:rPr>
      </w:pPr>
      <w:r w:rsidRPr="004716CF">
        <w:rPr>
          <w:b/>
          <w:bCs/>
          <w:sz w:val="22"/>
          <w:szCs w:val="22"/>
        </w:rPr>
        <w:t>Key 2025 Publications:</w:t>
      </w:r>
    </w:p>
    <w:p w14:paraId="1EE3AC97" w14:textId="1FC7CA47" w:rsidR="002C0324" w:rsidRDefault="002C0324" w:rsidP="00DE7649">
      <w:pPr>
        <w:numPr>
          <w:ilvl w:val="0"/>
          <w:numId w:val="53"/>
        </w:numPr>
        <w:spacing w:line="276" w:lineRule="auto"/>
        <w:jc w:val="both"/>
        <w:rPr>
          <w:sz w:val="22"/>
          <w:szCs w:val="22"/>
        </w:rPr>
      </w:pPr>
      <w:hyperlink r:id="rId10" w:history="1">
        <w:r w:rsidRPr="00955549">
          <w:rPr>
            <w:rStyle w:val="Hyperlink"/>
            <w:sz w:val="22"/>
            <w:szCs w:val="22"/>
          </w:rPr>
          <w:t>Wor</w:t>
        </w:r>
        <w:r w:rsidR="00955549" w:rsidRPr="00955549">
          <w:rPr>
            <w:rStyle w:val="Hyperlink"/>
            <w:sz w:val="22"/>
            <w:szCs w:val="22"/>
          </w:rPr>
          <w:t>kplan 2025-2026</w:t>
        </w:r>
      </w:hyperlink>
    </w:p>
    <w:p w14:paraId="0A3B899F" w14:textId="46F20428" w:rsidR="002F593D" w:rsidRDefault="001470C7" w:rsidP="00DE7649">
      <w:pPr>
        <w:numPr>
          <w:ilvl w:val="0"/>
          <w:numId w:val="53"/>
        </w:numPr>
        <w:spacing w:line="276" w:lineRule="auto"/>
        <w:jc w:val="both"/>
        <w:rPr>
          <w:sz w:val="22"/>
          <w:szCs w:val="22"/>
        </w:rPr>
      </w:pPr>
      <w:hyperlink r:id="rId11" w:history="1">
        <w:r w:rsidRPr="00EE7787">
          <w:rPr>
            <w:rStyle w:val="Hyperlink"/>
            <w:sz w:val="22"/>
            <w:szCs w:val="22"/>
          </w:rPr>
          <w:t>Guyana’s Seventh EITI Country Report – FY 2023</w:t>
        </w:r>
      </w:hyperlink>
    </w:p>
    <w:p w14:paraId="2C882844" w14:textId="32628694" w:rsidR="00E4364C" w:rsidRPr="00701BAD" w:rsidRDefault="00701BAD" w:rsidP="00DE7649">
      <w:pPr>
        <w:numPr>
          <w:ilvl w:val="0"/>
          <w:numId w:val="53"/>
        </w:numPr>
        <w:spacing w:line="276" w:lineRule="auto"/>
        <w:jc w:val="both"/>
        <w:rPr>
          <w:rStyle w:val="Hyperlink"/>
          <w:sz w:val="22"/>
          <w:szCs w:val="22"/>
        </w:rPr>
      </w:pPr>
      <w:r>
        <w:rPr>
          <w:sz w:val="22"/>
          <w:szCs w:val="22"/>
        </w:rPr>
        <w:fldChar w:fldCharType="begin"/>
      </w:r>
      <w:r>
        <w:rPr>
          <w:sz w:val="22"/>
          <w:szCs w:val="22"/>
        </w:rPr>
        <w:instrText>HYPERLINK "https://eiti.gy/documents/meeting-minutes-decisions/"</w:instrText>
      </w:r>
      <w:r>
        <w:rPr>
          <w:sz w:val="22"/>
          <w:szCs w:val="22"/>
        </w:rPr>
      </w:r>
      <w:r>
        <w:rPr>
          <w:sz w:val="22"/>
          <w:szCs w:val="22"/>
        </w:rPr>
        <w:fldChar w:fldCharType="separate"/>
      </w:r>
      <w:r w:rsidR="00E4364C" w:rsidRPr="00701BAD">
        <w:rPr>
          <w:rStyle w:val="Hyperlink"/>
          <w:sz w:val="22"/>
          <w:szCs w:val="22"/>
        </w:rPr>
        <w:t xml:space="preserve">Meeting Minutes &amp; Decisions for FY </w:t>
      </w:r>
      <w:r w:rsidR="008B71C3" w:rsidRPr="00701BAD">
        <w:rPr>
          <w:rStyle w:val="Hyperlink"/>
          <w:sz w:val="22"/>
          <w:szCs w:val="22"/>
        </w:rPr>
        <w:t>2025</w:t>
      </w:r>
    </w:p>
    <w:p w14:paraId="358516AD" w14:textId="61B68EE4" w:rsidR="00100492" w:rsidRDefault="00701BAD" w:rsidP="00DE7649">
      <w:pPr>
        <w:numPr>
          <w:ilvl w:val="0"/>
          <w:numId w:val="53"/>
        </w:numPr>
        <w:spacing w:line="276" w:lineRule="auto"/>
        <w:jc w:val="both"/>
        <w:rPr>
          <w:sz w:val="22"/>
          <w:szCs w:val="22"/>
        </w:rPr>
      </w:pPr>
      <w:r>
        <w:rPr>
          <w:sz w:val="22"/>
          <w:szCs w:val="22"/>
        </w:rPr>
        <w:fldChar w:fldCharType="end"/>
      </w:r>
      <w:hyperlink r:id="rId12" w:history="1">
        <w:r w:rsidR="003E4BD2" w:rsidRPr="003E4BD2">
          <w:rPr>
            <w:rStyle w:val="Hyperlink"/>
            <w:sz w:val="22"/>
            <w:szCs w:val="22"/>
          </w:rPr>
          <w:t>Data Dissemination Bulletin FY 2021 VS FY 2022</w:t>
        </w:r>
      </w:hyperlink>
    </w:p>
    <w:p w14:paraId="120FC942" w14:textId="17C9D88B" w:rsidR="00DE7649" w:rsidRDefault="00E667C8" w:rsidP="00DE7649">
      <w:pPr>
        <w:numPr>
          <w:ilvl w:val="0"/>
          <w:numId w:val="53"/>
        </w:numPr>
        <w:spacing w:line="276" w:lineRule="auto"/>
        <w:jc w:val="both"/>
        <w:rPr>
          <w:sz w:val="22"/>
          <w:szCs w:val="22"/>
        </w:rPr>
      </w:pPr>
      <w:hyperlink r:id="rId13" w:history="1">
        <w:r w:rsidRPr="00FA32AC">
          <w:rPr>
            <w:rStyle w:val="Hyperlink"/>
            <w:sz w:val="22"/>
            <w:szCs w:val="22"/>
          </w:rPr>
          <w:t xml:space="preserve">Newsletter </w:t>
        </w:r>
        <w:r w:rsidR="00CC7334" w:rsidRPr="00FA32AC">
          <w:rPr>
            <w:rStyle w:val="Hyperlink"/>
            <w:sz w:val="22"/>
            <w:szCs w:val="22"/>
          </w:rPr>
          <w:t>Issue No.1</w:t>
        </w:r>
      </w:hyperlink>
    </w:p>
    <w:p w14:paraId="2F10FD48" w14:textId="1D4DA230" w:rsidR="00CC7334" w:rsidRPr="00DE7649" w:rsidRDefault="00CC7334" w:rsidP="00CC7334">
      <w:pPr>
        <w:numPr>
          <w:ilvl w:val="0"/>
          <w:numId w:val="53"/>
        </w:numPr>
        <w:spacing w:line="276" w:lineRule="auto"/>
        <w:jc w:val="both"/>
        <w:rPr>
          <w:sz w:val="22"/>
          <w:szCs w:val="22"/>
        </w:rPr>
      </w:pPr>
      <w:hyperlink r:id="rId14" w:history="1">
        <w:r w:rsidRPr="00F55FE3">
          <w:rPr>
            <w:rStyle w:val="Hyperlink"/>
            <w:sz w:val="22"/>
            <w:szCs w:val="22"/>
          </w:rPr>
          <w:t>Newsletter Issue No.2</w:t>
        </w:r>
      </w:hyperlink>
    </w:p>
    <w:p w14:paraId="4BEBC5D3" w14:textId="665F6E1D" w:rsidR="00CC7334" w:rsidRDefault="00360BAC" w:rsidP="00DE7649">
      <w:pPr>
        <w:numPr>
          <w:ilvl w:val="0"/>
          <w:numId w:val="53"/>
        </w:numPr>
        <w:spacing w:line="276" w:lineRule="auto"/>
        <w:jc w:val="both"/>
        <w:rPr>
          <w:sz w:val="22"/>
          <w:szCs w:val="22"/>
        </w:rPr>
      </w:pPr>
      <w:hyperlink r:id="rId15" w:history="1">
        <w:r w:rsidRPr="00FA32AC">
          <w:rPr>
            <w:rStyle w:val="Hyperlink"/>
            <w:sz w:val="22"/>
            <w:szCs w:val="22"/>
          </w:rPr>
          <w:t>EITI Blogs</w:t>
        </w:r>
      </w:hyperlink>
    </w:p>
    <w:p w14:paraId="511118CD" w14:textId="4F2137D1" w:rsidR="00430ABB" w:rsidRDefault="00E8013B" w:rsidP="00DE7649">
      <w:pPr>
        <w:numPr>
          <w:ilvl w:val="0"/>
          <w:numId w:val="53"/>
        </w:numPr>
        <w:spacing w:line="276" w:lineRule="auto"/>
        <w:jc w:val="both"/>
        <w:rPr>
          <w:sz w:val="22"/>
          <w:szCs w:val="22"/>
        </w:rPr>
      </w:pPr>
      <w:hyperlink r:id="rId16" w:history="1">
        <w:r w:rsidRPr="00E8013B">
          <w:rPr>
            <w:rStyle w:val="Hyperlink"/>
            <w:sz w:val="22"/>
            <w:szCs w:val="22"/>
          </w:rPr>
          <w:t>Key Outreach Activities</w:t>
        </w:r>
      </w:hyperlink>
    </w:p>
    <w:p w14:paraId="6AD8658F" w14:textId="1D3746BA" w:rsidR="00F265AB" w:rsidRPr="00DE7649" w:rsidRDefault="00EA2089" w:rsidP="00DE7649">
      <w:pPr>
        <w:numPr>
          <w:ilvl w:val="0"/>
          <w:numId w:val="53"/>
        </w:numPr>
        <w:spacing w:line="276" w:lineRule="auto"/>
        <w:jc w:val="both"/>
        <w:rPr>
          <w:sz w:val="22"/>
          <w:szCs w:val="22"/>
        </w:rPr>
      </w:pPr>
      <w:hyperlink r:id="rId17" w:history="1">
        <w:r w:rsidRPr="00EA2089">
          <w:rPr>
            <w:rStyle w:val="Hyperlink"/>
            <w:sz w:val="22"/>
            <w:szCs w:val="22"/>
          </w:rPr>
          <w:t>News &amp; Events</w:t>
        </w:r>
      </w:hyperlink>
    </w:p>
    <w:p w14:paraId="02A8ACF1" w14:textId="1EAE06C5" w:rsidR="00DE7649" w:rsidRPr="00DE7649" w:rsidRDefault="00684F3B" w:rsidP="00DE7649">
      <w:pPr>
        <w:numPr>
          <w:ilvl w:val="0"/>
          <w:numId w:val="53"/>
        </w:numPr>
        <w:spacing w:line="276" w:lineRule="auto"/>
        <w:jc w:val="both"/>
        <w:rPr>
          <w:rStyle w:val="Hyperlink"/>
          <w:sz w:val="22"/>
          <w:szCs w:val="22"/>
        </w:rPr>
      </w:pPr>
      <w:r>
        <w:rPr>
          <w:sz w:val="22"/>
          <w:szCs w:val="22"/>
        </w:rPr>
        <w:fldChar w:fldCharType="begin"/>
      </w:r>
      <w:r>
        <w:rPr>
          <w:sz w:val="22"/>
          <w:szCs w:val="22"/>
        </w:rPr>
        <w:instrText>HYPERLINK "https://eiti.gy/mnr-statement-on-contract-transparency/"</w:instrText>
      </w:r>
      <w:r>
        <w:rPr>
          <w:sz w:val="22"/>
          <w:szCs w:val="22"/>
        </w:rPr>
      </w:r>
      <w:r>
        <w:rPr>
          <w:sz w:val="22"/>
          <w:szCs w:val="22"/>
        </w:rPr>
        <w:fldChar w:fldCharType="separate"/>
      </w:r>
      <w:r w:rsidR="00DE7649" w:rsidRPr="00DE7649">
        <w:rPr>
          <w:rStyle w:val="Hyperlink"/>
          <w:sz w:val="22"/>
          <w:szCs w:val="22"/>
        </w:rPr>
        <w:t>Contract Disclosure Policy</w:t>
      </w:r>
    </w:p>
    <w:p w14:paraId="2AC807E7" w14:textId="7C097CC6" w:rsidR="00DE7649" w:rsidRPr="00DE7649" w:rsidRDefault="00684F3B" w:rsidP="00DE7649">
      <w:pPr>
        <w:numPr>
          <w:ilvl w:val="0"/>
          <w:numId w:val="53"/>
        </w:numPr>
        <w:spacing w:line="276" w:lineRule="auto"/>
        <w:jc w:val="both"/>
        <w:rPr>
          <w:sz w:val="22"/>
          <w:szCs w:val="22"/>
        </w:rPr>
      </w:pPr>
      <w:r>
        <w:rPr>
          <w:sz w:val="22"/>
          <w:szCs w:val="22"/>
        </w:rPr>
        <w:fldChar w:fldCharType="end"/>
      </w:r>
      <w:hyperlink r:id="rId18" w:history="1">
        <w:r w:rsidR="00A95C48" w:rsidRPr="00A95C48">
          <w:rPr>
            <w:rStyle w:val="Hyperlink"/>
            <w:sz w:val="22"/>
            <w:szCs w:val="22"/>
          </w:rPr>
          <w:t>New License and Contracts</w:t>
        </w:r>
      </w:hyperlink>
    </w:p>
    <w:p w14:paraId="562FE276" w14:textId="397F5215" w:rsidR="002F710D" w:rsidRPr="00597F44" w:rsidRDefault="002F710D" w:rsidP="00B33093">
      <w:pPr>
        <w:spacing w:line="276" w:lineRule="auto"/>
        <w:jc w:val="both"/>
        <w:rPr>
          <w:sz w:val="22"/>
          <w:szCs w:val="22"/>
        </w:rPr>
      </w:pPr>
      <w:r w:rsidRPr="002F710D">
        <w:rPr>
          <w:sz w:val="22"/>
          <w:szCs w:val="22"/>
        </w:rPr>
        <w:t>These updates contributed to advancing systematic disclosure and improving public access to extractive information.</w:t>
      </w:r>
    </w:p>
    <w:p w14:paraId="2FB2EA7A" w14:textId="77777777" w:rsidR="00121885" w:rsidRPr="00121885" w:rsidRDefault="00121885" w:rsidP="005871C9">
      <w:pPr>
        <w:pStyle w:val="APR"/>
      </w:pPr>
      <w:bookmarkStart w:id="11" w:name="_Toc225776190"/>
      <w:r w:rsidRPr="00121885">
        <w:t>3. Development of the 2025–2026 Work Plan</w:t>
      </w:r>
      <w:bookmarkEnd w:id="11"/>
    </w:p>
    <w:p w14:paraId="4E6BEA81" w14:textId="77777777" w:rsidR="00596DB8" w:rsidRPr="00596DB8" w:rsidRDefault="00596DB8" w:rsidP="00596DB8">
      <w:pPr>
        <w:spacing w:line="276" w:lineRule="auto"/>
        <w:rPr>
          <w:sz w:val="22"/>
          <w:szCs w:val="22"/>
        </w:rPr>
      </w:pPr>
      <w:r w:rsidRPr="00596DB8">
        <w:rPr>
          <w:sz w:val="22"/>
          <w:szCs w:val="22"/>
        </w:rPr>
        <w:t>During the latter part of 2025, the Secretariat developed the 2025–2026 Work Plan to:</w:t>
      </w:r>
    </w:p>
    <w:p w14:paraId="1D102757" w14:textId="0DB36DC2" w:rsidR="00596DB8" w:rsidRPr="00596DB8" w:rsidRDefault="00596DB8" w:rsidP="00596DB8">
      <w:pPr>
        <w:numPr>
          <w:ilvl w:val="0"/>
          <w:numId w:val="58"/>
        </w:numPr>
        <w:spacing w:line="276" w:lineRule="auto"/>
        <w:rPr>
          <w:sz w:val="22"/>
          <w:szCs w:val="22"/>
        </w:rPr>
      </w:pPr>
      <w:r w:rsidRPr="00596DB8">
        <w:rPr>
          <w:sz w:val="22"/>
          <w:szCs w:val="22"/>
        </w:rPr>
        <w:t xml:space="preserve">Address outstanding corrective actions from the 2021 </w:t>
      </w:r>
      <w:r w:rsidR="0072012D" w:rsidRPr="00596DB8">
        <w:rPr>
          <w:sz w:val="22"/>
          <w:szCs w:val="22"/>
        </w:rPr>
        <w:t>Validation.</w:t>
      </w:r>
    </w:p>
    <w:p w14:paraId="0FC1EB3B" w14:textId="77777777" w:rsidR="00596DB8" w:rsidRPr="00596DB8" w:rsidRDefault="00596DB8" w:rsidP="00596DB8">
      <w:pPr>
        <w:numPr>
          <w:ilvl w:val="0"/>
          <w:numId w:val="58"/>
        </w:numPr>
        <w:spacing w:line="276" w:lineRule="auto"/>
        <w:rPr>
          <w:sz w:val="22"/>
          <w:szCs w:val="22"/>
        </w:rPr>
      </w:pPr>
      <w:r w:rsidRPr="00596DB8">
        <w:rPr>
          <w:sz w:val="22"/>
          <w:szCs w:val="22"/>
        </w:rPr>
        <w:t>Incorporate recommendations from all previous EITI reports; and</w:t>
      </w:r>
    </w:p>
    <w:p w14:paraId="1D69F9DF" w14:textId="77777777" w:rsidR="00596DB8" w:rsidRPr="00596DB8" w:rsidRDefault="00596DB8" w:rsidP="00596DB8">
      <w:pPr>
        <w:numPr>
          <w:ilvl w:val="0"/>
          <w:numId w:val="58"/>
        </w:numPr>
        <w:spacing w:line="276" w:lineRule="auto"/>
        <w:rPr>
          <w:sz w:val="22"/>
          <w:szCs w:val="22"/>
        </w:rPr>
      </w:pPr>
      <w:r w:rsidRPr="00596DB8">
        <w:rPr>
          <w:sz w:val="22"/>
          <w:szCs w:val="22"/>
        </w:rPr>
        <w:t>Integrate additional requirements under the 2023 EITI Standard.</w:t>
      </w:r>
    </w:p>
    <w:p w14:paraId="57B89B41" w14:textId="3786621A" w:rsidR="00597F44" w:rsidRPr="00597F44" w:rsidRDefault="00596DB8" w:rsidP="00597F44">
      <w:pPr>
        <w:spacing w:line="276" w:lineRule="auto"/>
        <w:rPr>
          <w:sz w:val="22"/>
          <w:szCs w:val="22"/>
        </w:rPr>
      </w:pPr>
      <w:r w:rsidRPr="00596DB8">
        <w:rPr>
          <w:sz w:val="22"/>
          <w:szCs w:val="22"/>
        </w:rPr>
        <w:t xml:space="preserve">This planning aims to ensure structured and </w:t>
      </w:r>
      <w:r w:rsidR="0072012D" w:rsidRPr="00596DB8">
        <w:rPr>
          <w:sz w:val="22"/>
          <w:szCs w:val="22"/>
        </w:rPr>
        <w:t>result</w:t>
      </w:r>
      <w:r w:rsidRPr="00596DB8">
        <w:rPr>
          <w:sz w:val="22"/>
          <w:szCs w:val="22"/>
        </w:rPr>
        <w:t>-oriented implementation going forward.</w:t>
      </w:r>
    </w:p>
    <w:p w14:paraId="78072BEC" w14:textId="0E475623" w:rsidR="00204707" w:rsidRPr="00432D23" w:rsidRDefault="00204707" w:rsidP="00597F44">
      <w:pPr>
        <w:pStyle w:val="APR"/>
      </w:pPr>
      <w:bookmarkStart w:id="12" w:name="_Toc225776191"/>
      <w:r w:rsidRPr="00432D23">
        <w:t xml:space="preserve">4. </w:t>
      </w:r>
      <w:r w:rsidR="00154B14" w:rsidRPr="00154B14">
        <w:t>Communications and Public Engagement</w:t>
      </w:r>
      <w:bookmarkEnd w:id="12"/>
    </w:p>
    <w:p w14:paraId="566A699C" w14:textId="12A95EE1" w:rsidR="00154B14" w:rsidRPr="00597F44" w:rsidRDefault="00154B14" w:rsidP="00204707">
      <w:pPr>
        <w:spacing w:line="276" w:lineRule="auto"/>
        <w:contextualSpacing/>
        <w:jc w:val="both"/>
        <w:rPr>
          <w:sz w:val="22"/>
          <w:szCs w:val="22"/>
        </w:rPr>
      </w:pPr>
      <w:r w:rsidRPr="00154B14">
        <w:rPr>
          <w:sz w:val="22"/>
          <w:szCs w:val="22"/>
        </w:rPr>
        <w:t>Despite operational challenges, communications and outreach expanded significantly in 2025, contributing to increased awareness of EITI processes and disclosure requirements. Public engagement reached one of the highest levels recorded by the Secretariat, strengthening stakeholder participation and dialogue.</w:t>
      </w:r>
    </w:p>
    <w:p w14:paraId="21138AA2" w14:textId="77777777" w:rsidR="00204707" w:rsidRPr="00204707" w:rsidRDefault="00204707" w:rsidP="00597F44">
      <w:pPr>
        <w:pStyle w:val="APR"/>
      </w:pPr>
      <w:bookmarkStart w:id="13" w:name="_Toc225776192"/>
      <w:r w:rsidRPr="00204707">
        <w:t>5. Systematic Disclosure and Open Data</w:t>
      </w:r>
      <w:bookmarkEnd w:id="13"/>
    </w:p>
    <w:p w14:paraId="6EBB3EE0" w14:textId="396E42E2" w:rsidR="002F713C" w:rsidRPr="00597F44" w:rsidRDefault="00D42D19" w:rsidP="00597F44">
      <w:pPr>
        <w:spacing w:line="276" w:lineRule="auto"/>
        <w:contextualSpacing/>
        <w:jc w:val="both"/>
        <w:rPr>
          <w:sz w:val="22"/>
          <w:szCs w:val="22"/>
        </w:rPr>
      </w:pPr>
      <w:r w:rsidRPr="00D42D19">
        <w:rPr>
          <w:sz w:val="22"/>
          <w:szCs w:val="22"/>
        </w:rPr>
        <w:t xml:space="preserve">In 2025, work on systematic disclosure focused on advancing the implementation phase of the Systematic Disclosure Feasibility Study, which was completed in 2024. The World Bank consultant continued to support engagement with state agencies and efforts to integrate routine disclosure into government systems. These activities laid the groundwork for transitioning from stand-alone reporting </w:t>
      </w:r>
      <w:r w:rsidR="00DE6292">
        <w:rPr>
          <w:sz w:val="22"/>
          <w:szCs w:val="22"/>
        </w:rPr>
        <w:t>to more consistent,</w:t>
      </w:r>
      <w:r w:rsidRPr="00D42D19">
        <w:rPr>
          <w:sz w:val="22"/>
          <w:szCs w:val="22"/>
        </w:rPr>
        <w:t xml:space="preserve"> structured disclosure practices, although further work remains to fully institutionalize transparency across state entities.</w:t>
      </w:r>
    </w:p>
    <w:p w14:paraId="2E0C041B" w14:textId="35E5CDD8" w:rsidR="00F30623" w:rsidRPr="00F30623" w:rsidRDefault="00F30623" w:rsidP="00597F44">
      <w:pPr>
        <w:pStyle w:val="APR"/>
      </w:pPr>
      <w:bookmarkStart w:id="14" w:name="_Toc225776193"/>
      <w:r w:rsidRPr="00F30623">
        <w:t>6. Technical Assistance</w:t>
      </w:r>
      <w:r w:rsidR="00934741">
        <w:t xml:space="preserve">, </w:t>
      </w:r>
      <w:r w:rsidRPr="00F30623">
        <w:t>Capacity Development</w:t>
      </w:r>
      <w:r w:rsidR="004041E8">
        <w:t>,</w:t>
      </w:r>
      <w:r w:rsidR="004041E8" w:rsidRPr="004041E8">
        <w:rPr>
          <w:rFonts w:ascii="Times New Roman" w:eastAsia="Times New Roman" w:hAnsi="Times New Roman" w:cs="Times New Roman"/>
          <w:b w:val="0"/>
          <w:bCs w:val="0"/>
          <w:color w:val="auto"/>
          <w:shd w:val="clear" w:color="auto" w:fill="auto"/>
        </w:rPr>
        <w:t xml:space="preserve"> </w:t>
      </w:r>
      <w:r w:rsidR="004041E8" w:rsidRPr="004041E8">
        <w:t xml:space="preserve">and Institutional </w:t>
      </w:r>
      <w:r w:rsidR="004956A4" w:rsidRPr="004956A4">
        <w:t>Project Delivery</w:t>
      </w:r>
      <w:bookmarkEnd w:id="14"/>
    </w:p>
    <w:p w14:paraId="1E064C03" w14:textId="77777777" w:rsidR="00F30623" w:rsidRPr="00F30623" w:rsidRDefault="00F30623" w:rsidP="00F30623">
      <w:pPr>
        <w:spacing w:line="276" w:lineRule="auto"/>
        <w:contextualSpacing/>
        <w:jc w:val="both"/>
        <w:rPr>
          <w:sz w:val="22"/>
          <w:szCs w:val="22"/>
        </w:rPr>
      </w:pPr>
      <w:r w:rsidRPr="00F30623">
        <w:rPr>
          <w:sz w:val="22"/>
          <w:szCs w:val="22"/>
        </w:rPr>
        <w:t>In 2025, to address implementation gaps and strengthen institutional capacity, the Government of Guyana continued engaging a World Bank consultant. The consultant led efforts to:</w:t>
      </w:r>
    </w:p>
    <w:p w14:paraId="729EDE83" w14:textId="56089DDC" w:rsidR="00F30623" w:rsidRPr="00F30623" w:rsidRDefault="00F30623" w:rsidP="00F30623">
      <w:pPr>
        <w:numPr>
          <w:ilvl w:val="0"/>
          <w:numId w:val="59"/>
        </w:numPr>
        <w:spacing w:line="276" w:lineRule="auto"/>
        <w:contextualSpacing/>
        <w:jc w:val="both"/>
        <w:rPr>
          <w:sz w:val="22"/>
          <w:szCs w:val="22"/>
        </w:rPr>
      </w:pPr>
      <w:r w:rsidRPr="00F30623">
        <w:rPr>
          <w:sz w:val="22"/>
          <w:szCs w:val="22"/>
        </w:rPr>
        <w:t xml:space="preserve">Build capacity of the Secretariat and </w:t>
      </w:r>
      <w:r w:rsidR="0072012D" w:rsidRPr="00F30623">
        <w:rPr>
          <w:sz w:val="22"/>
          <w:szCs w:val="22"/>
        </w:rPr>
        <w:t>MSG.</w:t>
      </w:r>
    </w:p>
    <w:p w14:paraId="53CB361C" w14:textId="239CDEE2" w:rsidR="00F30623" w:rsidRPr="00F30623" w:rsidRDefault="00F30623" w:rsidP="00F30623">
      <w:pPr>
        <w:numPr>
          <w:ilvl w:val="0"/>
          <w:numId w:val="59"/>
        </w:numPr>
        <w:spacing w:line="276" w:lineRule="auto"/>
        <w:contextualSpacing/>
        <w:jc w:val="both"/>
        <w:rPr>
          <w:sz w:val="22"/>
          <w:szCs w:val="22"/>
        </w:rPr>
      </w:pPr>
      <w:r w:rsidRPr="00F30623">
        <w:rPr>
          <w:sz w:val="22"/>
          <w:szCs w:val="22"/>
        </w:rPr>
        <w:t xml:space="preserve">Advance the Systematic Disclosure Feasibility </w:t>
      </w:r>
      <w:r w:rsidR="0072012D" w:rsidRPr="00F30623">
        <w:rPr>
          <w:sz w:val="22"/>
          <w:szCs w:val="22"/>
        </w:rPr>
        <w:t>Study.</w:t>
      </w:r>
    </w:p>
    <w:p w14:paraId="0D6C2831" w14:textId="77777777" w:rsidR="00E15C75" w:rsidRPr="00E15C75" w:rsidRDefault="00C77FD4" w:rsidP="00F30623">
      <w:pPr>
        <w:numPr>
          <w:ilvl w:val="0"/>
          <w:numId w:val="59"/>
        </w:numPr>
        <w:spacing w:line="276" w:lineRule="auto"/>
        <w:contextualSpacing/>
        <w:jc w:val="both"/>
        <w:rPr>
          <w:sz w:val="22"/>
          <w:szCs w:val="22"/>
        </w:rPr>
      </w:pPr>
      <w:r w:rsidRPr="00C77FD4">
        <w:rPr>
          <w:sz w:val="22"/>
          <w:szCs w:val="22"/>
        </w:rPr>
        <w:lastRenderedPageBreak/>
        <w:t>Assist in the preparation and completion of the 2025 Validation templates, marking the Secretariat’s first experience in fully completing these templates, and ensuring they align with EITI requirements for Transparency, Outcomes and Impacts, and Stakeholder Engagement.</w:t>
      </w:r>
    </w:p>
    <w:p w14:paraId="12FF0BF0" w14:textId="2CA69342" w:rsidR="00F30623" w:rsidRPr="00F30623" w:rsidRDefault="00F30623" w:rsidP="00F30623">
      <w:pPr>
        <w:numPr>
          <w:ilvl w:val="0"/>
          <w:numId w:val="59"/>
        </w:numPr>
        <w:spacing w:line="276" w:lineRule="auto"/>
        <w:contextualSpacing/>
        <w:jc w:val="both"/>
        <w:rPr>
          <w:sz w:val="22"/>
          <w:szCs w:val="22"/>
        </w:rPr>
      </w:pPr>
      <w:r w:rsidRPr="00F30623">
        <w:rPr>
          <w:sz w:val="22"/>
          <w:szCs w:val="22"/>
        </w:rPr>
        <w:t>Engage state agencies such as the Environmental Protection Agency (EPA), Guyana Gold Board (GGB), and Guyana Geology and Mines Commission (GGMC) on systematic disclosure; and</w:t>
      </w:r>
    </w:p>
    <w:p w14:paraId="5D79B49A" w14:textId="77777777" w:rsidR="00F30623" w:rsidRDefault="00F30623" w:rsidP="00F30623">
      <w:pPr>
        <w:numPr>
          <w:ilvl w:val="0"/>
          <w:numId w:val="59"/>
        </w:numPr>
        <w:spacing w:line="276" w:lineRule="auto"/>
        <w:contextualSpacing/>
        <w:jc w:val="both"/>
        <w:rPr>
          <w:sz w:val="22"/>
          <w:szCs w:val="22"/>
        </w:rPr>
      </w:pPr>
      <w:r w:rsidRPr="00F30623">
        <w:rPr>
          <w:sz w:val="22"/>
          <w:szCs w:val="22"/>
        </w:rPr>
        <w:t>Complete a Gap Analysis of the FY 2022 IA Report.</w:t>
      </w:r>
    </w:p>
    <w:p w14:paraId="546AEBD6" w14:textId="77777777" w:rsidR="00814DAF" w:rsidRPr="00F30623" w:rsidRDefault="00814DAF" w:rsidP="00E15C75">
      <w:pPr>
        <w:spacing w:line="276" w:lineRule="auto"/>
        <w:ind w:left="720"/>
        <w:contextualSpacing/>
        <w:jc w:val="both"/>
        <w:rPr>
          <w:sz w:val="22"/>
          <w:szCs w:val="22"/>
        </w:rPr>
      </w:pPr>
    </w:p>
    <w:p w14:paraId="75B7AF7F" w14:textId="77777777" w:rsidR="00B07644" w:rsidRDefault="00B07644" w:rsidP="00B07644">
      <w:pPr>
        <w:spacing w:line="276" w:lineRule="auto"/>
        <w:contextualSpacing/>
        <w:jc w:val="both"/>
        <w:rPr>
          <w:sz w:val="22"/>
          <w:szCs w:val="22"/>
        </w:rPr>
      </w:pPr>
      <w:r w:rsidRPr="00B07644">
        <w:rPr>
          <w:sz w:val="22"/>
          <w:szCs w:val="22"/>
        </w:rPr>
        <w:t>The consultant also conducted training for Secretariat staff, MSG members, and media representatives to improve understanding of EITI reporting requirements. These interventions strengthened the Secretariat’s technical capacity; however, challenges in timely project delivery continued due to institutional bottlenecks, external dependencies, and insufficient specialized technical staff. Much of the Secretariat’s work requires expertise beyond clerical functions, and additional technical staff remain necessary to ensure full implementation of EITI activities.</w:t>
      </w:r>
    </w:p>
    <w:p w14:paraId="3BEAE7DB" w14:textId="77777777" w:rsidR="000417A7" w:rsidRPr="00B07644" w:rsidRDefault="000417A7" w:rsidP="00B07644">
      <w:pPr>
        <w:spacing w:line="276" w:lineRule="auto"/>
        <w:contextualSpacing/>
        <w:jc w:val="both"/>
        <w:rPr>
          <w:sz w:val="22"/>
          <w:szCs w:val="22"/>
        </w:rPr>
      </w:pPr>
    </w:p>
    <w:p w14:paraId="40E15148" w14:textId="4D0372A9" w:rsidR="00AA7D65" w:rsidRDefault="00B07644" w:rsidP="00AA7D65">
      <w:pPr>
        <w:spacing w:line="276" w:lineRule="auto"/>
        <w:contextualSpacing/>
        <w:jc w:val="both"/>
        <w:rPr>
          <w:sz w:val="22"/>
          <w:szCs w:val="22"/>
        </w:rPr>
      </w:pPr>
      <w:r w:rsidRPr="00B07644">
        <w:rPr>
          <w:b/>
          <w:bCs/>
          <w:sz w:val="22"/>
          <w:szCs w:val="22"/>
        </w:rPr>
        <w:t>Note:</w:t>
      </w:r>
      <w:r w:rsidRPr="00B07644">
        <w:rPr>
          <w:sz w:val="22"/>
          <w:szCs w:val="22"/>
        </w:rPr>
        <w:t xml:space="preserve"> The 2025 Validation exercise was </w:t>
      </w:r>
      <w:r w:rsidR="00EB0759">
        <w:rPr>
          <w:sz w:val="22"/>
          <w:szCs w:val="22"/>
        </w:rPr>
        <w:t>extended</w:t>
      </w:r>
      <w:r w:rsidRPr="00B07644">
        <w:rPr>
          <w:sz w:val="22"/>
          <w:szCs w:val="22"/>
        </w:rPr>
        <w:t xml:space="preserve"> to 2026 to allow completion of preparatory work and resolution of Civil Society membership, which is expected to be fully appointed in 2026 </w:t>
      </w:r>
      <w:r w:rsidR="00AA7D65">
        <w:rPr>
          <w:sz w:val="22"/>
          <w:szCs w:val="22"/>
        </w:rPr>
        <w:t xml:space="preserve">with the support of </w:t>
      </w:r>
      <w:r w:rsidR="00AA7D65" w:rsidRPr="00B07644">
        <w:rPr>
          <w:sz w:val="22"/>
          <w:szCs w:val="22"/>
        </w:rPr>
        <w:t>the EITI Secretariat.</w:t>
      </w:r>
      <w:r w:rsidR="00AA7D65">
        <w:rPr>
          <w:sz w:val="22"/>
          <w:szCs w:val="22"/>
        </w:rPr>
        <w:t xml:space="preserve"> </w:t>
      </w:r>
    </w:p>
    <w:p w14:paraId="78467D66" w14:textId="1EF80A41" w:rsidR="00B771E9" w:rsidRPr="00B771E9" w:rsidRDefault="00B771E9" w:rsidP="00F30623">
      <w:pPr>
        <w:spacing w:line="276" w:lineRule="auto"/>
        <w:contextualSpacing/>
        <w:jc w:val="both"/>
        <w:rPr>
          <w:sz w:val="22"/>
          <w:szCs w:val="22"/>
        </w:rPr>
      </w:pPr>
    </w:p>
    <w:p w14:paraId="6EEDE3B7" w14:textId="206D9E0A" w:rsidR="007E15BB" w:rsidRPr="00F30623" w:rsidRDefault="00F30623" w:rsidP="00597F44">
      <w:pPr>
        <w:pStyle w:val="APR"/>
      </w:pPr>
      <w:bookmarkStart w:id="15" w:name="_Toc225776194"/>
      <w:r w:rsidRPr="00F30623">
        <w:t>7. Key Implementation Challenges</w:t>
      </w:r>
      <w:bookmarkEnd w:id="15"/>
    </w:p>
    <w:p w14:paraId="0507873C" w14:textId="77777777" w:rsidR="002E0F8C" w:rsidRDefault="00F30623" w:rsidP="002E0F8C">
      <w:pPr>
        <w:spacing w:line="276" w:lineRule="auto"/>
        <w:contextualSpacing/>
        <w:rPr>
          <w:b/>
          <w:bCs/>
          <w:sz w:val="22"/>
          <w:szCs w:val="22"/>
        </w:rPr>
      </w:pPr>
      <w:r w:rsidRPr="00F30623">
        <w:rPr>
          <w:b/>
          <w:bCs/>
          <w:sz w:val="22"/>
          <w:szCs w:val="22"/>
        </w:rPr>
        <w:t>a) Data Collection Constraints in the Mining Sector</w:t>
      </w:r>
    </w:p>
    <w:p w14:paraId="057507BB" w14:textId="086F9AD4" w:rsidR="00F30623" w:rsidRPr="002E0F8C" w:rsidRDefault="000C2E3F" w:rsidP="000C2E3F">
      <w:pPr>
        <w:spacing w:line="276" w:lineRule="auto"/>
        <w:contextualSpacing/>
        <w:jc w:val="both"/>
        <w:rPr>
          <w:b/>
          <w:bCs/>
          <w:sz w:val="22"/>
          <w:szCs w:val="22"/>
        </w:rPr>
      </w:pPr>
      <w:r w:rsidRPr="00F30623">
        <w:rPr>
          <w:sz w:val="22"/>
          <w:szCs w:val="22"/>
        </w:rPr>
        <w:t>Reluctance from certain mining sector stakeholders to submit EITI reporting templates persisted, often citing security concerns. Consequently, a significant portion of mining sector data remains aggregated, limiting disaggregation and detail.</w:t>
      </w:r>
    </w:p>
    <w:p w14:paraId="62C17563" w14:textId="77777777" w:rsidR="007E15BB" w:rsidRPr="00F30623" w:rsidRDefault="007E15BB" w:rsidP="007E15BB">
      <w:pPr>
        <w:spacing w:line="276" w:lineRule="auto"/>
        <w:contextualSpacing/>
        <w:rPr>
          <w:sz w:val="22"/>
          <w:szCs w:val="22"/>
        </w:rPr>
      </w:pPr>
    </w:p>
    <w:p w14:paraId="3328975E" w14:textId="77777777" w:rsidR="0015498F" w:rsidRDefault="00F30623" w:rsidP="0015498F">
      <w:pPr>
        <w:spacing w:line="276" w:lineRule="auto"/>
        <w:contextualSpacing/>
        <w:rPr>
          <w:b/>
          <w:bCs/>
          <w:sz w:val="22"/>
          <w:szCs w:val="22"/>
        </w:rPr>
      </w:pPr>
      <w:r w:rsidRPr="00F30623">
        <w:rPr>
          <w:b/>
          <w:bCs/>
          <w:sz w:val="22"/>
          <w:szCs w:val="22"/>
        </w:rPr>
        <w:t>b) Data Quality and Audit Backlogs</w:t>
      </w:r>
    </w:p>
    <w:p w14:paraId="75B65065" w14:textId="0234FDB5" w:rsidR="00F30623" w:rsidRDefault="00F30623" w:rsidP="0015498F">
      <w:pPr>
        <w:spacing w:line="276" w:lineRule="auto"/>
        <w:contextualSpacing/>
        <w:jc w:val="both"/>
        <w:rPr>
          <w:sz w:val="22"/>
          <w:szCs w:val="22"/>
        </w:rPr>
      </w:pPr>
      <w:r w:rsidRPr="00F30623">
        <w:rPr>
          <w:sz w:val="22"/>
          <w:szCs w:val="22"/>
        </w:rPr>
        <w:t>Audit backlogs in</w:t>
      </w:r>
      <w:r w:rsidR="006F343F">
        <w:rPr>
          <w:sz w:val="22"/>
          <w:szCs w:val="22"/>
        </w:rPr>
        <w:t xml:space="preserve"> a few</w:t>
      </w:r>
      <w:r w:rsidRPr="00F30623">
        <w:rPr>
          <w:sz w:val="22"/>
          <w:szCs w:val="22"/>
        </w:rPr>
        <w:t xml:space="preserve"> state entities continue to affect compliance with data quality and assurance requirements. GYEITI implemented an Agreed-Upon Procedure (AUP) to mitigate risks related to audit delays; however, this serves as an interim measure rather than a long-term solution.</w:t>
      </w:r>
    </w:p>
    <w:p w14:paraId="3D07A0C3" w14:textId="62AE11D7" w:rsidR="00DE6292" w:rsidRDefault="00DE6292" w:rsidP="0015498F">
      <w:pPr>
        <w:spacing w:line="276" w:lineRule="auto"/>
        <w:contextualSpacing/>
        <w:jc w:val="both"/>
        <w:rPr>
          <w:sz w:val="22"/>
          <w:szCs w:val="22"/>
        </w:rPr>
      </w:pPr>
    </w:p>
    <w:p w14:paraId="7918C226" w14:textId="3F2867D9" w:rsidR="00DE6292" w:rsidRPr="00865152" w:rsidRDefault="00DE6292" w:rsidP="0015498F">
      <w:pPr>
        <w:spacing w:line="276" w:lineRule="auto"/>
        <w:contextualSpacing/>
        <w:jc w:val="both"/>
        <w:rPr>
          <w:b/>
          <w:bCs/>
          <w:sz w:val="22"/>
          <w:szCs w:val="22"/>
        </w:rPr>
      </w:pPr>
      <w:r w:rsidRPr="00865152">
        <w:rPr>
          <w:b/>
          <w:bCs/>
          <w:sz w:val="22"/>
          <w:szCs w:val="22"/>
        </w:rPr>
        <w:t>c) Governance and Oversight</w:t>
      </w:r>
    </w:p>
    <w:p w14:paraId="0CEEB6AD" w14:textId="0CCA5993" w:rsidR="00532AB8" w:rsidRPr="007B5AC3" w:rsidRDefault="007B5AC3" w:rsidP="00344DA3">
      <w:pPr>
        <w:spacing w:line="276" w:lineRule="auto"/>
        <w:contextualSpacing/>
        <w:jc w:val="both"/>
        <w:rPr>
          <w:b/>
          <w:bCs/>
          <w:sz w:val="22"/>
          <w:szCs w:val="22"/>
        </w:rPr>
      </w:pPr>
      <w:r>
        <w:rPr>
          <w:sz w:val="22"/>
          <w:szCs w:val="22"/>
        </w:rPr>
        <w:t>The lapse in governance related to the pending composition of the MSG was a key implementation issue in 2025</w:t>
      </w:r>
      <w:r w:rsidR="008001E2" w:rsidRPr="008001E2">
        <w:rPr>
          <w:sz w:val="22"/>
          <w:szCs w:val="22"/>
        </w:rPr>
        <w:t>; however, the MSG remained active and continued to provide oversight during this period.</w:t>
      </w:r>
    </w:p>
    <w:p w14:paraId="5D830678" w14:textId="77777777" w:rsidR="00532AB8" w:rsidRPr="00D42CED" w:rsidRDefault="00532AB8" w:rsidP="006C2062">
      <w:pPr>
        <w:pStyle w:val="Heading1"/>
        <w:shd w:val="clear" w:color="auto" w:fill="45B0E1" w:themeFill="accent1" w:themeFillTint="99"/>
        <w:spacing w:line="276" w:lineRule="auto"/>
        <w:rPr>
          <w:b/>
          <w:bCs/>
          <w:sz w:val="28"/>
          <w:szCs w:val="28"/>
        </w:rPr>
      </w:pPr>
      <w:bookmarkStart w:id="16" w:name="_Toc164687921"/>
      <w:bookmarkStart w:id="17" w:name="_Toc225776195"/>
      <w:r w:rsidRPr="00D42CED">
        <w:rPr>
          <w:b/>
          <w:bCs/>
          <w:sz w:val="28"/>
          <w:szCs w:val="28"/>
        </w:rPr>
        <w:t>Overview of Activities and Outcomes</w:t>
      </w:r>
      <w:bookmarkEnd w:id="16"/>
      <w:bookmarkEnd w:id="17"/>
    </w:p>
    <w:p w14:paraId="5CC92A28" w14:textId="77777777" w:rsidR="00FC3AC9" w:rsidRDefault="00FE0D63" w:rsidP="00FC3AC9">
      <w:pPr>
        <w:spacing w:line="276" w:lineRule="auto"/>
        <w:jc w:val="both"/>
        <w:rPr>
          <w:rFonts w:eastAsia="Calibri"/>
          <w:sz w:val="22"/>
          <w:szCs w:val="22"/>
          <w:shd w:val="clear" w:color="auto" w:fill="FFFFFF"/>
        </w:rPr>
      </w:pPr>
      <w:r w:rsidRPr="00FE0D63">
        <w:rPr>
          <w:rFonts w:eastAsia="Calibri"/>
          <w:sz w:val="22"/>
          <w:szCs w:val="22"/>
          <w:shd w:val="clear" w:color="auto" w:fill="FFFFFF"/>
        </w:rPr>
        <w:t xml:space="preserve">Building on the </w:t>
      </w:r>
      <w:r w:rsidR="00DE3365">
        <w:rPr>
          <w:rFonts w:eastAsia="Calibri"/>
          <w:sz w:val="22"/>
          <w:szCs w:val="22"/>
          <w:shd w:val="clear" w:color="auto" w:fill="FFFFFF"/>
        </w:rPr>
        <w:t>previous</w:t>
      </w:r>
      <w:r w:rsidRPr="00FE0D63">
        <w:rPr>
          <w:rFonts w:eastAsia="Calibri"/>
          <w:sz w:val="22"/>
          <w:szCs w:val="22"/>
          <w:shd w:val="clear" w:color="auto" w:fill="FFFFFF"/>
        </w:rPr>
        <w:t xml:space="preserve"> Workplan, </w:t>
      </w:r>
      <w:r w:rsidR="00FC3AC9" w:rsidRPr="00FC3AC9">
        <w:rPr>
          <w:rFonts w:eastAsia="Calibri"/>
          <w:sz w:val="22"/>
          <w:szCs w:val="22"/>
          <w:shd w:val="clear" w:color="auto" w:fill="FFFFFF"/>
        </w:rPr>
        <w:t>the 2025 implementation period prioritized addressing the corrective measures identified in the 2021 Validation, for which Guyana received a score of 52 out of 100. The Workplan also emphasized full alignment with the 2023 EITI Standard, including new focus areas such as revenue collection, energy transition, anti-corruption, and gender. Recommendations from previous EITI Reports, findings from the Gap Analysis of the FY 2022 IA Report, and feedback from the broader constituency—including civil society, government, and industry—also informed the design of the 2025–2026 Workplan.</w:t>
      </w:r>
    </w:p>
    <w:p w14:paraId="74236E01" w14:textId="77777777" w:rsidR="0037190E" w:rsidRPr="00FC3AC9" w:rsidRDefault="0037190E" w:rsidP="00FC3AC9">
      <w:pPr>
        <w:spacing w:line="276" w:lineRule="auto"/>
        <w:jc w:val="both"/>
        <w:rPr>
          <w:rFonts w:eastAsia="Calibri"/>
          <w:sz w:val="22"/>
          <w:szCs w:val="22"/>
          <w:shd w:val="clear" w:color="auto" w:fill="FFFFFF"/>
        </w:rPr>
      </w:pPr>
    </w:p>
    <w:p w14:paraId="2C631B32" w14:textId="77777777" w:rsidR="00FC3AC9" w:rsidRPr="00FC3AC9" w:rsidRDefault="00FC3AC9" w:rsidP="00FC3AC9">
      <w:pPr>
        <w:spacing w:line="276" w:lineRule="auto"/>
        <w:jc w:val="both"/>
        <w:rPr>
          <w:rFonts w:eastAsia="Calibri"/>
          <w:sz w:val="22"/>
          <w:szCs w:val="22"/>
          <w:shd w:val="clear" w:color="auto" w:fill="FFFFFF"/>
        </w:rPr>
      </w:pPr>
      <w:r w:rsidRPr="00FC3AC9">
        <w:rPr>
          <w:rFonts w:eastAsia="Calibri"/>
          <w:sz w:val="22"/>
          <w:szCs w:val="22"/>
          <w:shd w:val="clear" w:color="auto" w:fill="FFFFFF"/>
        </w:rPr>
        <w:lastRenderedPageBreak/>
        <w:t>In line with the objectives of the 2024–2025 Workplan, the MSG and Secretariat undertook a range of activities to:</w:t>
      </w:r>
    </w:p>
    <w:p w14:paraId="71171EC2" w14:textId="77777777" w:rsidR="00FC3AC9" w:rsidRPr="00FC3AC9" w:rsidRDefault="00FC3AC9" w:rsidP="00FC3AC9">
      <w:pPr>
        <w:numPr>
          <w:ilvl w:val="0"/>
          <w:numId w:val="61"/>
        </w:numPr>
        <w:spacing w:line="276" w:lineRule="auto"/>
        <w:jc w:val="both"/>
        <w:rPr>
          <w:rFonts w:eastAsia="Calibri"/>
          <w:sz w:val="22"/>
          <w:szCs w:val="22"/>
          <w:shd w:val="clear" w:color="auto" w:fill="FFFFFF"/>
        </w:rPr>
      </w:pPr>
      <w:r w:rsidRPr="00FC3AC9">
        <w:rPr>
          <w:rFonts w:eastAsia="Calibri"/>
          <w:sz w:val="22"/>
          <w:szCs w:val="22"/>
          <w:shd w:val="clear" w:color="auto" w:fill="FFFFFF"/>
        </w:rPr>
        <w:t>Address outstanding corrective measures from the 2021 Validation;</w:t>
      </w:r>
    </w:p>
    <w:p w14:paraId="1F03F143" w14:textId="77777777" w:rsidR="00FC3AC9" w:rsidRPr="00FC3AC9" w:rsidRDefault="00FC3AC9" w:rsidP="00FC3AC9">
      <w:pPr>
        <w:numPr>
          <w:ilvl w:val="0"/>
          <w:numId w:val="61"/>
        </w:numPr>
        <w:spacing w:line="276" w:lineRule="auto"/>
        <w:jc w:val="both"/>
        <w:rPr>
          <w:rFonts w:eastAsia="Calibri"/>
          <w:sz w:val="22"/>
          <w:szCs w:val="22"/>
          <w:shd w:val="clear" w:color="auto" w:fill="FFFFFF"/>
        </w:rPr>
      </w:pPr>
      <w:r w:rsidRPr="00FC3AC9">
        <w:rPr>
          <w:rFonts w:eastAsia="Calibri"/>
          <w:sz w:val="22"/>
          <w:szCs w:val="22"/>
          <w:shd w:val="clear" w:color="auto" w:fill="FFFFFF"/>
        </w:rPr>
        <w:t>Strengthen stakeholder engagement and public outreach;</w:t>
      </w:r>
    </w:p>
    <w:p w14:paraId="754B69AF" w14:textId="77777777" w:rsidR="00FC3AC9" w:rsidRPr="00FC3AC9" w:rsidRDefault="00FC3AC9" w:rsidP="00FC3AC9">
      <w:pPr>
        <w:numPr>
          <w:ilvl w:val="0"/>
          <w:numId w:val="61"/>
        </w:numPr>
        <w:spacing w:line="276" w:lineRule="auto"/>
        <w:jc w:val="both"/>
        <w:rPr>
          <w:rFonts w:eastAsia="Calibri"/>
          <w:sz w:val="22"/>
          <w:szCs w:val="22"/>
          <w:shd w:val="clear" w:color="auto" w:fill="FFFFFF"/>
        </w:rPr>
      </w:pPr>
      <w:r w:rsidRPr="00FC3AC9">
        <w:rPr>
          <w:rFonts w:eastAsia="Calibri"/>
          <w:sz w:val="22"/>
          <w:szCs w:val="22"/>
          <w:shd w:val="clear" w:color="auto" w:fill="FFFFFF"/>
        </w:rPr>
        <w:t>Support the implementation phase of systematic disclosure initiatives; and</w:t>
      </w:r>
    </w:p>
    <w:p w14:paraId="69225050" w14:textId="77777777" w:rsidR="00FC3AC9" w:rsidRPr="00FC3AC9" w:rsidRDefault="00FC3AC9" w:rsidP="00FC3AC9">
      <w:pPr>
        <w:numPr>
          <w:ilvl w:val="0"/>
          <w:numId w:val="61"/>
        </w:numPr>
        <w:spacing w:line="276" w:lineRule="auto"/>
        <w:jc w:val="both"/>
        <w:rPr>
          <w:rFonts w:eastAsia="Calibri"/>
          <w:sz w:val="22"/>
          <w:szCs w:val="22"/>
          <w:shd w:val="clear" w:color="auto" w:fill="FFFFFF"/>
        </w:rPr>
      </w:pPr>
      <w:r w:rsidRPr="00FC3AC9">
        <w:rPr>
          <w:rFonts w:eastAsia="Calibri"/>
          <w:sz w:val="22"/>
          <w:szCs w:val="22"/>
          <w:shd w:val="clear" w:color="auto" w:fill="FFFFFF"/>
        </w:rPr>
        <w:t>Enhance overall transparency and compliance with the 2023 EITI Standard.</w:t>
      </w:r>
    </w:p>
    <w:p w14:paraId="524A77CE" w14:textId="77777777" w:rsidR="00D356A4" w:rsidRDefault="00D356A4" w:rsidP="00FC3AC9">
      <w:pPr>
        <w:spacing w:line="276" w:lineRule="auto"/>
        <w:jc w:val="both"/>
        <w:rPr>
          <w:rFonts w:eastAsia="Calibri"/>
          <w:sz w:val="22"/>
          <w:szCs w:val="22"/>
          <w:shd w:val="clear" w:color="auto" w:fill="FFFFFF"/>
        </w:rPr>
      </w:pPr>
    </w:p>
    <w:p w14:paraId="64700313" w14:textId="1A83EDE7" w:rsidR="00FC3AC9" w:rsidRDefault="00FC3AC9" w:rsidP="00FC3AC9">
      <w:pPr>
        <w:spacing w:line="276" w:lineRule="auto"/>
        <w:jc w:val="both"/>
        <w:rPr>
          <w:rFonts w:eastAsia="Calibri"/>
          <w:sz w:val="22"/>
          <w:szCs w:val="22"/>
          <w:shd w:val="clear" w:color="auto" w:fill="FFFFFF"/>
        </w:rPr>
      </w:pPr>
      <w:r w:rsidRPr="00FC3AC9">
        <w:rPr>
          <w:rFonts w:eastAsia="Calibri"/>
          <w:sz w:val="22"/>
          <w:szCs w:val="22"/>
          <w:shd w:val="clear" w:color="auto" w:fill="FFFFFF"/>
        </w:rPr>
        <w:t>Table 1 below provides a summary of the key activities implemented during 2025 and their respective implementation status.</w:t>
      </w:r>
    </w:p>
    <w:p w14:paraId="32DA1055" w14:textId="77777777" w:rsidR="00FC3AC9" w:rsidRPr="00FC3AC9" w:rsidRDefault="00FC3AC9" w:rsidP="00FC3AC9">
      <w:pPr>
        <w:spacing w:line="276" w:lineRule="auto"/>
        <w:jc w:val="both"/>
        <w:rPr>
          <w:rFonts w:eastAsia="Calibri"/>
          <w:sz w:val="22"/>
          <w:szCs w:val="22"/>
          <w:shd w:val="clear" w:color="auto" w:fill="FFFFFF"/>
        </w:rPr>
      </w:pPr>
    </w:p>
    <w:p w14:paraId="1CF55EF9" w14:textId="3832CCF7" w:rsidR="00532AB8" w:rsidRPr="00507676" w:rsidRDefault="00EB2509" w:rsidP="00507676">
      <w:pPr>
        <w:spacing w:line="276" w:lineRule="auto"/>
        <w:jc w:val="center"/>
        <w:rPr>
          <w:rFonts w:eastAsia="Calibri"/>
          <w:b/>
          <w:bCs/>
          <w:sz w:val="22"/>
          <w:szCs w:val="22"/>
          <w:shd w:val="clear" w:color="auto" w:fill="FFFFFF"/>
        </w:rPr>
      </w:pPr>
      <w:r w:rsidRPr="00507676">
        <w:rPr>
          <w:rFonts w:eastAsia="Calibri"/>
          <w:b/>
          <w:bCs/>
          <w:sz w:val="22"/>
          <w:szCs w:val="22"/>
          <w:shd w:val="clear" w:color="auto" w:fill="FFFFFF"/>
        </w:rPr>
        <w:t>Table 1: Implementation Status of 2025 GYEITI Workplan Activities</w:t>
      </w:r>
    </w:p>
    <w:p w14:paraId="7C8EAC8D" w14:textId="77777777" w:rsidR="00EB2509" w:rsidRPr="00C40E52" w:rsidRDefault="00EB2509" w:rsidP="00B33093">
      <w:pPr>
        <w:spacing w:line="276" w:lineRule="auto"/>
        <w:jc w:val="center"/>
        <w:rPr>
          <w:rFonts w:eastAsia="Calibri"/>
          <w:b/>
          <w:bCs/>
          <w:color w:val="373A3C"/>
          <w:sz w:val="22"/>
          <w:szCs w:val="22"/>
          <w:shd w:val="clear" w:color="auto" w:fill="FFFFFF"/>
        </w:rPr>
      </w:pPr>
    </w:p>
    <w:tbl>
      <w:tblPr>
        <w:tblW w:w="8820" w:type="dxa"/>
        <w:jc w:val="center"/>
        <w:tblLook w:val="04A0" w:firstRow="1" w:lastRow="0" w:firstColumn="1" w:lastColumn="0" w:noHBand="0" w:noVBand="1"/>
      </w:tblPr>
      <w:tblGrid>
        <w:gridCol w:w="6956"/>
        <w:gridCol w:w="1864"/>
      </w:tblGrid>
      <w:tr w:rsidR="00532AB8" w:rsidRPr="00C40E52" w14:paraId="28B9AEDB" w14:textId="77777777" w:rsidTr="00F01F7A">
        <w:trPr>
          <w:trHeight w:val="20"/>
          <w:jc w:val="center"/>
        </w:trPr>
        <w:tc>
          <w:tcPr>
            <w:tcW w:w="6956" w:type="dxa"/>
            <w:shd w:val="clear" w:color="auto" w:fill="BFBFBF" w:themeFill="background1" w:themeFillShade="BF"/>
            <w:noWrap/>
            <w:vAlign w:val="bottom"/>
            <w:hideMark/>
          </w:tcPr>
          <w:p w14:paraId="0C4929B6" w14:textId="0D4CB70D" w:rsidR="00532AB8" w:rsidRPr="00C40E52" w:rsidRDefault="00532AB8" w:rsidP="00B33093">
            <w:pPr>
              <w:spacing w:line="276" w:lineRule="auto"/>
              <w:jc w:val="both"/>
              <w:rPr>
                <w:b/>
                <w:bCs/>
                <w:color w:val="000000"/>
                <w:sz w:val="22"/>
                <w:szCs w:val="22"/>
              </w:rPr>
            </w:pPr>
            <w:r w:rsidRPr="00C40E52">
              <w:rPr>
                <w:b/>
                <w:bCs/>
                <w:color w:val="000000"/>
                <w:sz w:val="22"/>
                <w:szCs w:val="22"/>
              </w:rPr>
              <w:t>202</w:t>
            </w:r>
            <w:r w:rsidR="005176C0" w:rsidRPr="00C40E52">
              <w:rPr>
                <w:b/>
                <w:bCs/>
                <w:color w:val="000000"/>
                <w:sz w:val="22"/>
                <w:szCs w:val="22"/>
              </w:rPr>
              <w:t>5</w:t>
            </w:r>
            <w:r w:rsidRPr="00C40E52">
              <w:rPr>
                <w:b/>
                <w:bCs/>
                <w:color w:val="000000"/>
                <w:sz w:val="22"/>
                <w:szCs w:val="22"/>
              </w:rPr>
              <w:t xml:space="preserve"> Workplan Activity</w:t>
            </w:r>
          </w:p>
        </w:tc>
        <w:tc>
          <w:tcPr>
            <w:tcW w:w="1864" w:type="dxa"/>
            <w:shd w:val="clear" w:color="auto" w:fill="BFBFBF" w:themeFill="background1" w:themeFillShade="BF"/>
            <w:noWrap/>
            <w:vAlign w:val="bottom"/>
            <w:hideMark/>
          </w:tcPr>
          <w:p w14:paraId="6DD1E7E2" w14:textId="77777777" w:rsidR="00532AB8" w:rsidRPr="00C40E52" w:rsidRDefault="00532AB8" w:rsidP="00B33093">
            <w:pPr>
              <w:spacing w:line="276" w:lineRule="auto"/>
              <w:jc w:val="both"/>
              <w:rPr>
                <w:b/>
                <w:bCs/>
                <w:color w:val="000000"/>
                <w:sz w:val="22"/>
                <w:szCs w:val="22"/>
              </w:rPr>
            </w:pPr>
            <w:r w:rsidRPr="00C40E52">
              <w:rPr>
                <w:b/>
                <w:bCs/>
                <w:color w:val="000000"/>
                <w:sz w:val="22"/>
                <w:szCs w:val="22"/>
              </w:rPr>
              <w:t>Status</w:t>
            </w:r>
          </w:p>
        </w:tc>
      </w:tr>
      <w:tr w:rsidR="00532AB8" w:rsidRPr="00C40E52" w14:paraId="2AAF567B" w14:textId="77777777" w:rsidTr="00F01F7A">
        <w:trPr>
          <w:trHeight w:val="20"/>
          <w:jc w:val="center"/>
        </w:trPr>
        <w:tc>
          <w:tcPr>
            <w:tcW w:w="6956" w:type="dxa"/>
            <w:noWrap/>
            <w:vAlign w:val="bottom"/>
            <w:hideMark/>
          </w:tcPr>
          <w:p w14:paraId="7675D4CF" w14:textId="17412AFE" w:rsidR="00532AB8" w:rsidRPr="00C40E52" w:rsidRDefault="00532AB8" w:rsidP="00B33093">
            <w:pPr>
              <w:spacing w:line="276" w:lineRule="auto"/>
              <w:jc w:val="both"/>
              <w:rPr>
                <w:color w:val="000000"/>
                <w:sz w:val="22"/>
                <w:szCs w:val="22"/>
              </w:rPr>
            </w:pPr>
            <w:r w:rsidRPr="00C40E52">
              <w:rPr>
                <w:color w:val="000000"/>
                <w:sz w:val="22"/>
                <w:szCs w:val="22"/>
              </w:rPr>
              <w:t xml:space="preserve">Guyana </w:t>
            </w:r>
            <w:r w:rsidR="00D109F1" w:rsidRPr="00C40E52">
              <w:rPr>
                <w:color w:val="000000"/>
                <w:sz w:val="22"/>
                <w:szCs w:val="22"/>
              </w:rPr>
              <w:t>7</w:t>
            </w:r>
            <w:r w:rsidRPr="00C40E52">
              <w:rPr>
                <w:color w:val="000000"/>
                <w:sz w:val="22"/>
                <w:szCs w:val="22"/>
              </w:rPr>
              <w:t>th EITI Report</w:t>
            </w:r>
          </w:p>
        </w:tc>
        <w:tc>
          <w:tcPr>
            <w:tcW w:w="1864" w:type="dxa"/>
            <w:shd w:val="clear" w:color="000000" w:fill="00B050"/>
            <w:noWrap/>
            <w:vAlign w:val="bottom"/>
            <w:hideMark/>
          </w:tcPr>
          <w:p w14:paraId="2171ED75" w14:textId="77777777" w:rsidR="00532AB8" w:rsidRPr="00C40E52" w:rsidRDefault="00532AB8" w:rsidP="00B33093">
            <w:pPr>
              <w:spacing w:line="276" w:lineRule="auto"/>
              <w:jc w:val="both"/>
              <w:rPr>
                <w:color w:val="000000"/>
                <w:sz w:val="22"/>
                <w:szCs w:val="22"/>
              </w:rPr>
            </w:pPr>
            <w:r w:rsidRPr="00C40E52">
              <w:rPr>
                <w:color w:val="000000"/>
                <w:sz w:val="22"/>
                <w:szCs w:val="22"/>
              </w:rPr>
              <w:t>Completed</w:t>
            </w:r>
          </w:p>
        </w:tc>
      </w:tr>
      <w:tr w:rsidR="00532AB8" w:rsidRPr="00C40E52" w14:paraId="36D5408F" w14:textId="77777777" w:rsidTr="00F01F7A">
        <w:trPr>
          <w:trHeight w:val="20"/>
          <w:jc w:val="center"/>
        </w:trPr>
        <w:tc>
          <w:tcPr>
            <w:tcW w:w="6956" w:type="dxa"/>
            <w:noWrap/>
            <w:vAlign w:val="bottom"/>
          </w:tcPr>
          <w:p w14:paraId="23957045" w14:textId="77B8C253" w:rsidR="00532AB8" w:rsidRPr="00C40E52" w:rsidRDefault="00193BFF" w:rsidP="00B33093">
            <w:pPr>
              <w:spacing w:line="276" w:lineRule="auto"/>
              <w:jc w:val="both"/>
              <w:rPr>
                <w:color w:val="000000"/>
                <w:sz w:val="22"/>
                <w:szCs w:val="22"/>
              </w:rPr>
            </w:pPr>
            <w:r w:rsidRPr="00C40E52">
              <w:rPr>
                <w:color w:val="000000"/>
                <w:sz w:val="22"/>
                <w:szCs w:val="22"/>
              </w:rPr>
              <w:t>Secondary Schools Engagement</w:t>
            </w:r>
          </w:p>
        </w:tc>
        <w:tc>
          <w:tcPr>
            <w:tcW w:w="1864" w:type="dxa"/>
            <w:shd w:val="clear" w:color="000000" w:fill="00B050"/>
            <w:noWrap/>
            <w:vAlign w:val="bottom"/>
            <w:hideMark/>
          </w:tcPr>
          <w:p w14:paraId="3700DAC3" w14:textId="77777777" w:rsidR="00532AB8" w:rsidRPr="00C40E52" w:rsidRDefault="00532AB8" w:rsidP="00B33093">
            <w:pPr>
              <w:spacing w:line="276" w:lineRule="auto"/>
              <w:jc w:val="both"/>
              <w:rPr>
                <w:color w:val="000000"/>
                <w:sz w:val="22"/>
                <w:szCs w:val="22"/>
              </w:rPr>
            </w:pPr>
            <w:r w:rsidRPr="00C40E52">
              <w:rPr>
                <w:color w:val="000000"/>
                <w:sz w:val="22"/>
                <w:szCs w:val="22"/>
              </w:rPr>
              <w:t>Completed</w:t>
            </w:r>
          </w:p>
        </w:tc>
      </w:tr>
      <w:tr w:rsidR="00532AB8" w:rsidRPr="00C40E52" w14:paraId="03451D76" w14:textId="77777777" w:rsidTr="00F01F7A">
        <w:trPr>
          <w:trHeight w:val="20"/>
          <w:jc w:val="center"/>
        </w:trPr>
        <w:tc>
          <w:tcPr>
            <w:tcW w:w="6956" w:type="dxa"/>
            <w:noWrap/>
            <w:vAlign w:val="bottom"/>
          </w:tcPr>
          <w:p w14:paraId="49AD2F81" w14:textId="43D361D4" w:rsidR="004771A9" w:rsidRPr="00C40E52" w:rsidRDefault="00532AB8" w:rsidP="00B33093">
            <w:pPr>
              <w:spacing w:line="276" w:lineRule="auto"/>
              <w:jc w:val="both"/>
              <w:rPr>
                <w:color w:val="000000"/>
                <w:sz w:val="22"/>
                <w:szCs w:val="22"/>
              </w:rPr>
            </w:pPr>
            <w:proofErr w:type="spellStart"/>
            <w:r w:rsidRPr="00C40E52">
              <w:rPr>
                <w:color w:val="000000"/>
                <w:sz w:val="22"/>
                <w:szCs w:val="22"/>
              </w:rPr>
              <w:t>Merundo</w:t>
            </w:r>
            <w:r w:rsidR="00F059FE">
              <w:rPr>
                <w:color w:val="000000"/>
                <w:sz w:val="22"/>
                <w:szCs w:val="22"/>
              </w:rPr>
              <w:t>i</w:t>
            </w:r>
            <w:proofErr w:type="spellEnd"/>
            <w:r w:rsidRPr="00C40E52">
              <w:rPr>
                <w:color w:val="000000"/>
                <w:sz w:val="22"/>
                <w:szCs w:val="22"/>
              </w:rPr>
              <w:t xml:space="preserve"> Radio drama </w:t>
            </w:r>
          </w:p>
        </w:tc>
        <w:tc>
          <w:tcPr>
            <w:tcW w:w="1864" w:type="dxa"/>
            <w:shd w:val="clear" w:color="000000" w:fill="00B050"/>
            <w:noWrap/>
            <w:vAlign w:val="bottom"/>
            <w:hideMark/>
          </w:tcPr>
          <w:p w14:paraId="140447D9" w14:textId="77777777" w:rsidR="00532AB8" w:rsidRPr="00C40E52" w:rsidRDefault="00532AB8" w:rsidP="00B33093">
            <w:pPr>
              <w:spacing w:line="276" w:lineRule="auto"/>
              <w:jc w:val="both"/>
              <w:rPr>
                <w:color w:val="000000"/>
                <w:sz w:val="22"/>
                <w:szCs w:val="22"/>
              </w:rPr>
            </w:pPr>
            <w:r w:rsidRPr="00C40E52">
              <w:rPr>
                <w:color w:val="000000"/>
                <w:sz w:val="22"/>
                <w:szCs w:val="22"/>
              </w:rPr>
              <w:t>Completed</w:t>
            </w:r>
          </w:p>
        </w:tc>
      </w:tr>
      <w:tr w:rsidR="008D4405" w:rsidRPr="00C40E52" w14:paraId="481D0AAA" w14:textId="77777777" w:rsidTr="00F01F7A">
        <w:trPr>
          <w:trHeight w:val="20"/>
          <w:jc w:val="center"/>
        </w:trPr>
        <w:tc>
          <w:tcPr>
            <w:tcW w:w="6956" w:type="dxa"/>
            <w:noWrap/>
            <w:vAlign w:val="bottom"/>
          </w:tcPr>
          <w:p w14:paraId="393CD856" w14:textId="4DB8087B" w:rsidR="008D4405" w:rsidRPr="00C40E52" w:rsidRDefault="008D4405" w:rsidP="00B33093">
            <w:pPr>
              <w:spacing w:line="276" w:lineRule="auto"/>
              <w:jc w:val="both"/>
              <w:rPr>
                <w:color w:val="000000"/>
                <w:sz w:val="22"/>
                <w:szCs w:val="22"/>
              </w:rPr>
            </w:pPr>
            <w:r w:rsidRPr="00C40E52">
              <w:rPr>
                <w:color w:val="000000"/>
                <w:sz w:val="22"/>
                <w:szCs w:val="22"/>
              </w:rPr>
              <w:t xml:space="preserve">Engagement with the ABC and E Diplomatic Missions </w:t>
            </w:r>
          </w:p>
        </w:tc>
        <w:tc>
          <w:tcPr>
            <w:tcW w:w="1864" w:type="dxa"/>
            <w:shd w:val="clear" w:color="000000" w:fill="00B050"/>
            <w:noWrap/>
            <w:vAlign w:val="bottom"/>
          </w:tcPr>
          <w:p w14:paraId="6E442A70" w14:textId="5788176D" w:rsidR="008D4405" w:rsidRPr="00C40E52" w:rsidRDefault="00507676" w:rsidP="00B33093">
            <w:pPr>
              <w:spacing w:line="276" w:lineRule="auto"/>
              <w:jc w:val="both"/>
              <w:rPr>
                <w:color w:val="000000"/>
                <w:sz w:val="22"/>
                <w:szCs w:val="22"/>
              </w:rPr>
            </w:pPr>
            <w:r w:rsidRPr="00C40E52">
              <w:rPr>
                <w:color w:val="000000"/>
                <w:sz w:val="22"/>
                <w:szCs w:val="22"/>
              </w:rPr>
              <w:t>Completed</w:t>
            </w:r>
          </w:p>
        </w:tc>
      </w:tr>
      <w:tr w:rsidR="008D4405" w:rsidRPr="00C40E52" w14:paraId="0E2CCF44" w14:textId="77777777" w:rsidTr="00F01F7A">
        <w:trPr>
          <w:trHeight w:val="20"/>
          <w:jc w:val="center"/>
        </w:trPr>
        <w:tc>
          <w:tcPr>
            <w:tcW w:w="6956" w:type="dxa"/>
            <w:noWrap/>
            <w:vAlign w:val="bottom"/>
          </w:tcPr>
          <w:p w14:paraId="633F8FD0" w14:textId="5F5F7A41" w:rsidR="008D4405" w:rsidRPr="00C40E52" w:rsidRDefault="008D4405" w:rsidP="00B33093">
            <w:pPr>
              <w:spacing w:line="276" w:lineRule="auto"/>
              <w:jc w:val="both"/>
              <w:rPr>
                <w:color w:val="000000"/>
                <w:sz w:val="22"/>
                <w:szCs w:val="22"/>
              </w:rPr>
            </w:pPr>
            <w:r w:rsidRPr="00C40E52">
              <w:rPr>
                <w:color w:val="000000"/>
                <w:sz w:val="22"/>
                <w:szCs w:val="22"/>
              </w:rPr>
              <w:t>Engagement with GGDMA</w:t>
            </w:r>
          </w:p>
        </w:tc>
        <w:tc>
          <w:tcPr>
            <w:tcW w:w="1864" w:type="dxa"/>
            <w:shd w:val="clear" w:color="000000" w:fill="00B050"/>
            <w:noWrap/>
            <w:vAlign w:val="bottom"/>
          </w:tcPr>
          <w:p w14:paraId="187CFE19" w14:textId="1AF787BE" w:rsidR="008D4405" w:rsidRPr="00C40E52" w:rsidRDefault="00507676" w:rsidP="00B33093">
            <w:pPr>
              <w:spacing w:line="276" w:lineRule="auto"/>
              <w:jc w:val="both"/>
              <w:rPr>
                <w:color w:val="000000"/>
                <w:sz w:val="22"/>
                <w:szCs w:val="22"/>
              </w:rPr>
            </w:pPr>
            <w:r w:rsidRPr="00C40E52">
              <w:rPr>
                <w:color w:val="000000"/>
                <w:sz w:val="22"/>
                <w:szCs w:val="22"/>
              </w:rPr>
              <w:t>Completed</w:t>
            </w:r>
          </w:p>
        </w:tc>
      </w:tr>
      <w:tr w:rsidR="008D4405" w:rsidRPr="00C40E52" w14:paraId="4AF62608" w14:textId="77777777" w:rsidTr="00F01F7A">
        <w:trPr>
          <w:trHeight w:val="20"/>
          <w:jc w:val="center"/>
        </w:trPr>
        <w:tc>
          <w:tcPr>
            <w:tcW w:w="6956" w:type="dxa"/>
            <w:noWrap/>
            <w:vAlign w:val="bottom"/>
          </w:tcPr>
          <w:p w14:paraId="2F686F51" w14:textId="77777777" w:rsidR="008D4405" w:rsidRPr="00C40E52" w:rsidRDefault="008D4405" w:rsidP="00B33093">
            <w:pPr>
              <w:spacing w:line="276" w:lineRule="auto"/>
              <w:jc w:val="both"/>
              <w:rPr>
                <w:color w:val="000000"/>
                <w:sz w:val="22"/>
                <w:szCs w:val="22"/>
              </w:rPr>
            </w:pPr>
            <w:r w:rsidRPr="00C40E52">
              <w:rPr>
                <w:color w:val="000000"/>
                <w:sz w:val="22"/>
                <w:szCs w:val="22"/>
              </w:rPr>
              <w:t>Engagement with the Financial Intelligence Unit (FIU) x2</w:t>
            </w:r>
          </w:p>
        </w:tc>
        <w:tc>
          <w:tcPr>
            <w:tcW w:w="1864" w:type="dxa"/>
            <w:shd w:val="clear" w:color="000000" w:fill="00B050"/>
            <w:noWrap/>
            <w:vAlign w:val="bottom"/>
          </w:tcPr>
          <w:p w14:paraId="548344E0" w14:textId="251F4104" w:rsidR="008D4405" w:rsidRPr="00C40E52" w:rsidRDefault="00507676" w:rsidP="00B33093">
            <w:pPr>
              <w:spacing w:line="276" w:lineRule="auto"/>
              <w:jc w:val="both"/>
              <w:rPr>
                <w:color w:val="000000"/>
                <w:sz w:val="22"/>
                <w:szCs w:val="22"/>
              </w:rPr>
            </w:pPr>
            <w:r w:rsidRPr="00C40E52">
              <w:rPr>
                <w:color w:val="000000"/>
                <w:sz w:val="22"/>
                <w:szCs w:val="22"/>
              </w:rPr>
              <w:t>Completed</w:t>
            </w:r>
          </w:p>
        </w:tc>
      </w:tr>
      <w:tr w:rsidR="008D4405" w:rsidRPr="00C40E52" w14:paraId="34E18FDB" w14:textId="77777777" w:rsidTr="00F01F7A">
        <w:trPr>
          <w:trHeight w:val="20"/>
          <w:jc w:val="center"/>
        </w:trPr>
        <w:tc>
          <w:tcPr>
            <w:tcW w:w="6956" w:type="dxa"/>
            <w:noWrap/>
            <w:vAlign w:val="bottom"/>
          </w:tcPr>
          <w:p w14:paraId="310EC04C" w14:textId="2F2B5E26" w:rsidR="008D4405" w:rsidRPr="00C40E52" w:rsidRDefault="008D4405" w:rsidP="00B33093">
            <w:pPr>
              <w:spacing w:line="276" w:lineRule="auto"/>
              <w:jc w:val="both"/>
              <w:rPr>
                <w:color w:val="000000"/>
                <w:sz w:val="22"/>
                <w:szCs w:val="22"/>
              </w:rPr>
            </w:pPr>
            <w:r w:rsidRPr="00C40E52">
              <w:rPr>
                <w:color w:val="000000"/>
                <w:sz w:val="22"/>
                <w:szCs w:val="22"/>
              </w:rPr>
              <w:t>Engagement with Youth in Natural Resources</w:t>
            </w:r>
          </w:p>
        </w:tc>
        <w:tc>
          <w:tcPr>
            <w:tcW w:w="1864" w:type="dxa"/>
            <w:shd w:val="clear" w:color="000000" w:fill="00B050"/>
            <w:noWrap/>
            <w:vAlign w:val="bottom"/>
          </w:tcPr>
          <w:p w14:paraId="1DF40146" w14:textId="3B0E0AC0" w:rsidR="008D4405" w:rsidRPr="00C40E52" w:rsidRDefault="00507676" w:rsidP="00B33093">
            <w:pPr>
              <w:spacing w:line="276" w:lineRule="auto"/>
              <w:jc w:val="both"/>
              <w:rPr>
                <w:color w:val="000000"/>
                <w:sz w:val="22"/>
                <w:szCs w:val="22"/>
              </w:rPr>
            </w:pPr>
            <w:r w:rsidRPr="00C40E52">
              <w:rPr>
                <w:color w:val="000000"/>
                <w:sz w:val="22"/>
                <w:szCs w:val="22"/>
              </w:rPr>
              <w:t>Completed</w:t>
            </w:r>
          </w:p>
        </w:tc>
      </w:tr>
      <w:tr w:rsidR="008D4405" w:rsidRPr="00C40E52" w14:paraId="5011415F" w14:textId="77777777" w:rsidTr="00F01F7A">
        <w:trPr>
          <w:trHeight w:val="20"/>
          <w:jc w:val="center"/>
        </w:trPr>
        <w:tc>
          <w:tcPr>
            <w:tcW w:w="6956" w:type="dxa"/>
            <w:noWrap/>
            <w:vAlign w:val="bottom"/>
          </w:tcPr>
          <w:p w14:paraId="5D51B4CC" w14:textId="77777777" w:rsidR="008D4405" w:rsidRPr="00C40E52" w:rsidRDefault="008D4405" w:rsidP="00B33093">
            <w:pPr>
              <w:spacing w:line="276" w:lineRule="auto"/>
              <w:jc w:val="both"/>
              <w:rPr>
                <w:color w:val="000000"/>
                <w:sz w:val="22"/>
                <w:szCs w:val="22"/>
              </w:rPr>
            </w:pPr>
            <w:r w:rsidRPr="00C40E52">
              <w:rPr>
                <w:color w:val="000000"/>
                <w:sz w:val="22"/>
                <w:szCs w:val="22"/>
              </w:rPr>
              <w:t>Engagement with Ministry of Amerindian Affairs x2</w:t>
            </w:r>
          </w:p>
        </w:tc>
        <w:tc>
          <w:tcPr>
            <w:tcW w:w="1864" w:type="dxa"/>
            <w:shd w:val="clear" w:color="000000" w:fill="00B050"/>
            <w:noWrap/>
            <w:vAlign w:val="bottom"/>
          </w:tcPr>
          <w:p w14:paraId="2291D7D1" w14:textId="24BF287D" w:rsidR="008D4405" w:rsidRPr="00C40E52" w:rsidRDefault="00507676" w:rsidP="00B33093">
            <w:pPr>
              <w:spacing w:line="276" w:lineRule="auto"/>
              <w:jc w:val="both"/>
              <w:rPr>
                <w:color w:val="000000"/>
                <w:sz w:val="22"/>
                <w:szCs w:val="22"/>
              </w:rPr>
            </w:pPr>
            <w:r w:rsidRPr="00C40E52">
              <w:rPr>
                <w:color w:val="000000"/>
                <w:sz w:val="22"/>
                <w:szCs w:val="22"/>
              </w:rPr>
              <w:t>Completed</w:t>
            </w:r>
          </w:p>
        </w:tc>
      </w:tr>
      <w:tr w:rsidR="008D4405" w:rsidRPr="00C40E52" w14:paraId="2260E156" w14:textId="77777777" w:rsidTr="00F01F7A">
        <w:trPr>
          <w:trHeight w:val="20"/>
          <w:jc w:val="center"/>
        </w:trPr>
        <w:tc>
          <w:tcPr>
            <w:tcW w:w="6956" w:type="dxa"/>
            <w:noWrap/>
            <w:vAlign w:val="bottom"/>
          </w:tcPr>
          <w:p w14:paraId="115740CA" w14:textId="77777777" w:rsidR="008D4405" w:rsidRPr="00C40E52" w:rsidRDefault="008D4405" w:rsidP="00B33093">
            <w:pPr>
              <w:spacing w:line="276" w:lineRule="auto"/>
              <w:jc w:val="both"/>
              <w:rPr>
                <w:color w:val="000000"/>
                <w:sz w:val="22"/>
                <w:szCs w:val="22"/>
              </w:rPr>
            </w:pPr>
            <w:r w:rsidRPr="00C40E52">
              <w:rPr>
                <w:color w:val="000000"/>
                <w:sz w:val="22"/>
                <w:szCs w:val="22"/>
              </w:rPr>
              <w:t>Engagement with Lethem small miners</w:t>
            </w:r>
          </w:p>
        </w:tc>
        <w:tc>
          <w:tcPr>
            <w:tcW w:w="1864" w:type="dxa"/>
            <w:shd w:val="clear" w:color="000000" w:fill="00B050"/>
            <w:noWrap/>
            <w:vAlign w:val="bottom"/>
          </w:tcPr>
          <w:p w14:paraId="5B5D3902" w14:textId="54811ADA" w:rsidR="008D4405" w:rsidRPr="00C40E52" w:rsidRDefault="00507676" w:rsidP="00B33093">
            <w:pPr>
              <w:spacing w:line="276" w:lineRule="auto"/>
              <w:jc w:val="both"/>
              <w:rPr>
                <w:color w:val="000000"/>
                <w:sz w:val="22"/>
                <w:szCs w:val="22"/>
              </w:rPr>
            </w:pPr>
            <w:r w:rsidRPr="00C40E52">
              <w:rPr>
                <w:color w:val="000000"/>
                <w:sz w:val="22"/>
                <w:szCs w:val="22"/>
              </w:rPr>
              <w:t>Completed</w:t>
            </w:r>
          </w:p>
        </w:tc>
      </w:tr>
      <w:tr w:rsidR="008D4405" w:rsidRPr="00C40E52" w14:paraId="76479599" w14:textId="77777777" w:rsidTr="00F01F7A">
        <w:trPr>
          <w:trHeight w:val="20"/>
          <w:jc w:val="center"/>
        </w:trPr>
        <w:tc>
          <w:tcPr>
            <w:tcW w:w="6956" w:type="dxa"/>
            <w:noWrap/>
            <w:vAlign w:val="bottom"/>
          </w:tcPr>
          <w:p w14:paraId="2A1F0756" w14:textId="77777777" w:rsidR="008D4405" w:rsidRPr="00C40E52" w:rsidRDefault="008D4405" w:rsidP="00B33093">
            <w:pPr>
              <w:spacing w:line="276" w:lineRule="auto"/>
              <w:jc w:val="both"/>
              <w:rPr>
                <w:color w:val="000000"/>
                <w:sz w:val="22"/>
                <w:szCs w:val="22"/>
              </w:rPr>
            </w:pPr>
            <w:r w:rsidRPr="00C40E52">
              <w:rPr>
                <w:color w:val="000000"/>
                <w:sz w:val="22"/>
                <w:szCs w:val="22"/>
              </w:rPr>
              <w:t>Engagement with Women’s Chamber of Commerce</w:t>
            </w:r>
          </w:p>
        </w:tc>
        <w:tc>
          <w:tcPr>
            <w:tcW w:w="1864" w:type="dxa"/>
            <w:shd w:val="clear" w:color="000000" w:fill="00B050"/>
            <w:noWrap/>
            <w:vAlign w:val="bottom"/>
          </w:tcPr>
          <w:p w14:paraId="036935F4" w14:textId="77EFF60F" w:rsidR="008D4405" w:rsidRPr="00C40E52" w:rsidRDefault="00507676" w:rsidP="00B33093">
            <w:pPr>
              <w:spacing w:line="276" w:lineRule="auto"/>
              <w:jc w:val="both"/>
              <w:rPr>
                <w:color w:val="000000"/>
                <w:sz w:val="22"/>
                <w:szCs w:val="22"/>
              </w:rPr>
            </w:pPr>
            <w:r w:rsidRPr="00C40E52">
              <w:rPr>
                <w:color w:val="000000"/>
                <w:sz w:val="22"/>
                <w:szCs w:val="22"/>
              </w:rPr>
              <w:t>Completed</w:t>
            </w:r>
          </w:p>
        </w:tc>
      </w:tr>
      <w:tr w:rsidR="00532AB8" w:rsidRPr="00C40E52" w14:paraId="3E4271E9" w14:textId="77777777" w:rsidTr="00F01F7A">
        <w:trPr>
          <w:trHeight w:val="20"/>
          <w:jc w:val="center"/>
        </w:trPr>
        <w:tc>
          <w:tcPr>
            <w:tcW w:w="6956" w:type="dxa"/>
            <w:noWrap/>
            <w:vAlign w:val="bottom"/>
            <w:hideMark/>
          </w:tcPr>
          <w:p w14:paraId="0D87F23D" w14:textId="11C1A8BB" w:rsidR="004D08A9" w:rsidRPr="00C40E52" w:rsidRDefault="009D3411" w:rsidP="00B33093">
            <w:pPr>
              <w:spacing w:line="276" w:lineRule="auto"/>
              <w:jc w:val="both"/>
              <w:rPr>
                <w:color w:val="000000"/>
                <w:sz w:val="22"/>
                <w:szCs w:val="22"/>
              </w:rPr>
            </w:pPr>
            <w:r w:rsidRPr="00C40E52">
              <w:rPr>
                <w:color w:val="000000"/>
                <w:sz w:val="22"/>
                <w:szCs w:val="22"/>
              </w:rPr>
              <w:t>Engagement with Small Businesswomen in Lethem</w:t>
            </w:r>
          </w:p>
        </w:tc>
        <w:tc>
          <w:tcPr>
            <w:tcW w:w="1864" w:type="dxa"/>
            <w:shd w:val="clear" w:color="000000" w:fill="00B050"/>
            <w:noWrap/>
            <w:vAlign w:val="bottom"/>
            <w:hideMark/>
          </w:tcPr>
          <w:p w14:paraId="3364D4BF" w14:textId="77777777" w:rsidR="00532AB8" w:rsidRPr="00C40E52" w:rsidRDefault="00532AB8" w:rsidP="00B33093">
            <w:pPr>
              <w:spacing w:line="276" w:lineRule="auto"/>
              <w:jc w:val="both"/>
              <w:rPr>
                <w:color w:val="000000"/>
                <w:sz w:val="22"/>
                <w:szCs w:val="22"/>
              </w:rPr>
            </w:pPr>
            <w:r w:rsidRPr="00C40E52">
              <w:rPr>
                <w:color w:val="000000"/>
                <w:sz w:val="22"/>
                <w:szCs w:val="22"/>
              </w:rPr>
              <w:t>Completed</w:t>
            </w:r>
          </w:p>
        </w:tc>
      </w:tr>
      <w:tr w:rsidR="008D4405" w:rsidRPr="00C40E52" w14:paraId="74289C4D" w14:textId="77777777" w:rsidTr="00F01F7A">
        <w:trPr>
          <w:trHeight w:val="20"/>
          <w:jc w:val="center"/>
        </w:trPr>
        <w:tc>
          <w:tcPr>
            <w:tcW w:w="6956" w:type="dxa"/>
            <w:noWrap/>
            <w:vAlign w:val="bottom"/>
          </w:tcPr>
          <w:p w14:paraId="6EDA3AFD" w14:textId="77777777" w:rsidR="008D4405" w:rsidRPr="00C40E52" w:rsidRDefault="008D4405" w:rsidP="00B33093">
            <w:pPr>
              <w:spacing w:line="276" w:lineRule="auto"/>
              <w:jc w:val="both"/>
              <w:rPr>
                <w:color w:val="000000"/>
                <w:sz w:val="22"/>
                <w:szCs w:val="22"/>
              </w:rPr>
            </w:pPr>
            <w:r w:rsidRPr="00C40E52">
              <w:rPr>
                <w:color w:val="000000"/>
                <w:sz w:val="22"/>
                <w:szCs w:val="22"/>
              </w:rPr>
              <w:t>Engagement with journalists</w:t>
            </w:r>
          </w:p>
        </w:tc>
        <w:tc>
          <w:tcPr>
            <w:tcW w:w="1864" w:type="dxa"/>
            <w:shd w:val="clear" w:color="000000" w:fill="00B050"/>
            <w:noWrap/>
            <w:vAlign w:val="bottom"/>
          </w:tcPr>
          <w:p w14:paraId="4515E615" w14:textId="4BBF879F" w:rsidR="008D4405" w:rsidRPr="00C40E52" w:rsidRDefault="00507676" w:rsidP="00B33093">
            <w:pPr>
              <w:spacing w:line="276" w:lineRule="auto"/>
              <w:jc w:val="both"/>
              <w:rPr>
                <w:color w:val="000000"/>
                <w:sz w:val="22"/>
                <w:szCs w:val="22"/>
              </w:rPr>
            </w:pPr>
            <w:r w:rsidRPr="00C40E52">
              <w:rPr>
                <w:color w:val="000000"/>
                <w:sz w:val="22"/>
                <w:szCs w:val="22"/>
              </w:rPr>
              <w:t>Completed</w:t>
            </w:r>
          </w:p>
        </w:tc>
      </w:tr>
      <w:tr w:rsidR="00532AB8" w:rsidRPr="00C40E52" w14:paraId="7C19AF1D" w14:textId="77777777" w:rsidTr="00F01F7A">
        <w:trPr>
          <w:trHeight w:val="20"/>
          <w:jc w:val="center"/>
        </w:trPr>
        <w:tc>
          <w:tcPr>
            <w:tcW w:w="6956" w:type="dxa"/>
            <w:noWrap/>
            <w:vAlign w:val="bottom"/>
            <w:hideMark/>
          </w:tcPr>
          <w:p w14:paraId="1618DF46" w14:textId="77777777" w:rsidR="00532AB8" w:rsidRPr="00C40E52" w:rsidRDefault="00532AB8" w:rsidP="00B33093">
            <w:pPr>
              <w:spacing w:line="276" w:lineRule="auto"/>
              <w:jc w:val="both"/>
              <w:rPr>
                <w:color w:val="000000"/>
                <w:sz w:val="22"/>
                <w:szCs w:val="22"/>
              </w:rPr>
            </w:pPr>
            <w:r w:rsidRPr="00C40E52">
              <w:rPr>
                <w:color w:val="000000"/>
                <w:sz w:val="22"/>
                <w:szCs w:val="22"/>
              </w:rPr>
              <w:t>GYEITI Newsletter</w:t>
            </w:r>
          </w:p>
        </w:tc>
        <w:tc>
          <w:tcPr>
            <w:tcW w:w="1864" w:type="dxa"/>
            <w:shd w:val="clear" w:color="000000" w:fill="00B050"/>
            <w:noWrap/>
            <w:vAlign w:val="bottom"/>
            <w:hideMark/>
          </w:tcPr>
          <w:p w14:paraId="533A3BEC" w14:textId="77777777" w:rsidR="00532AB8" w:rsidRPr="00C40E52" w:rsidRDefault="00532AB8" w:rsidP="00B33093">
            <w:pPr>
              <w:spacing w:line="276" w:lineRule="auto"/>
              <w:jc w:val="both"/>
              <w:rPr>
                <w:color w:val="000000"/>
                <w:sz w:val="22"/>
                <w:szCs w:val="22"/>
              </w:rPr>
            </w:pPr>
            <w:r w:rsidRPr="00C40E52">
              <w:rPr>
                <w:color w:val="000000"/>
                <w:sz w:val="22"/>
                <w:szCs w:val="22"/>
              </w:rPr>
              <w:t>Completed</w:t>
            </w:r>
          </w:p>
        </w:tc>
      </w:tr>
      <w:tr w:rsidR="00B7548F" w:rsidRPr="00C40E52" w14:paraId="010DCAE6" w14:textId="77777777" w:rsidTr="00F01F7A">
        <w:trPr>
          <w:trHeight w:val="20"/>
          <w:jc w:val="center"/>
        </w:trPr>
        <w:tc>
          <w:tcPr>
            <w:tcW w:w="6956" w:type="dxa"/>
            <w:noWrap/>
            <w:vAlign w:val="bottom"/>
          </w:tcPr>
          <w:p w14:paraId="7D20FA87" w14:textId="38BE3DAE" w:rsidR="00B7548F" w:rsidRPr="00C40E52" w:rsidRDefault="00B7548F" w:rsidP="00B33093">
            <w:pPr>
              <w:spacing w:line="276" w:lineRule="auto"/>
              <w:jc w:val="both"/>
              <w:rPr>
                <w:color w:val="000000"/>
                <w:sz w:val="22"/>
                <w:szCs w:val="22"/>
              </w:rPr>
            </w:pPr>
            <w:r>
              <w:rPr>
                <w:color w:val="000000"/>
                <w:sz w:val="22"/>
                <w:szCs w:val="22"/>
              </w:rPr>
              <w:t xml:space="preserve">Data </w:t>
            </w:r>
            <w:r w:rsidR="00990D27">
              <w:rPr>
                <w:color w:val="000000"/>
                <w:sz w:val="22"/>
                <w:szCs w:val="22"/>
              </w:rPr>
              <w:t>Dissemination</w:t>
            </w:r>
            <w:r>
              <w:rPr>
                <w:color w:val="000000"/>
                <w:sz w:val="22"/>
                <w:szCs w:val="22"/>
              </w:rPr>
              <w:t xml:space="preserve"> Bulletin</w:t>
            </w:r>
          </w:p>
        </w:tc>
        <w:tc>
          <w:tcPr>
            <w:tcW w:w="1864" w:type="dxa"/>
            <w:shd w:val="clear" w:color="000000" w:fill="00B050"/>
            <w:noWrap/>
            <w:vAlign w:val="bottom"/>
          </w:tcPr>
          <w:p w14:paraId="75380467" w14:textId="7AB8C78B" w:rsidR="00B7548F" w:rsidRPr="00C40E52" w:rsidRDefault="00990D27" w:rsidP="00B33093">
            <w:pPr>
              <w:spacing w:line="276" w:lineRule="auto"/>
              <w:jc w:val="both"/>
              <w:rPr>
                <w:color w:val="000000"/>
                <w:sz w:val="22"/>
                <w:szCs w:val="22"/>
              </w:rPr>
            </w:pPr>
            <w:r w:rsidRPr="00C40E52">
              <w:rPr>
                <w:color w:val="000000"/>
                <w:sz w:val="22"/>
                <w:szCs w:val="22"/>
              </w:rPr>
              <w:t>Completed</w:t>
            </w:r>
          </w:p>
        </w:tc>
      </w:tr>
      <w:tr w:rsidR="00990D27" w:rsidRPr="00C40E52" w14:paraId="541A9916" w14:textId="77777777" w:rsidTr="00F01F7A">
        <w:trPr>
          <w:trHeight w:val="20"/>
          <w:jc w:val="center"/>
        </w:trPr>
        <w:tc>
          <w:tcPr>
            <w:tcW w:w="6956" w:type="dxa"/>
            <w:noWrap/>
            <w:hideMark/>
          </w:tcPr>
          <w:p w14:paraId="1ACA682A" w14:textId="7BFB9BAE" w:rsidR="00990D27" w:rsidRPr="00C40E52" w:rsidRDefault="00990D27" w:rsidP="00C54D88">
            <w:pPr>
              <w:spacing w:line="276" w:lineRule="auto"/>
              <w:rPr>
                <w:color w:val="000000"/>
                <w:sz w:val="22"/>
                <w:szCs w:val="22"/>
              </w:rPr>
            </w:pPr>
            <w:r w:rsidRPr="00C40E52">
              <w:rPr>
                <w:color w:val="000000"/>
                <w:sz w:val="22"/>
                <w:szCs w:val="22"/>
              </w:rPr>
              <w:t>Systematic Disclosure of key data  at State entities – EPA, GGB and GGMC</w:t>
            </w:r>
          </w:p>
        </w:tc>
        <w:tc>
          <w:tcPr>
            <w:tcW w:w="1864" w:type="dxa"/>
            <w:shd w:val="clear" w:color="auto" w:fill="00B050"/>
            <w:noWrap/>
            <w:vAlign w:val="bottom"/>
            <w:hideMark/>
          </w:tcPr>
          <w:p w14:paraId="620AD1AC" w14:textId="119DA624" w:rsidR="00990D27" w:rsidRPr="00C40E52" w:rsidRDefault="00BA7B39" w:rsidP="00990D27">
            <w:pPr>
              <w:spacing w:line="276" w:lineRule="auto"/>
              <w:jc w:val="both"/>
              <w:rPr>
                <w:color w:val="000000"/>
                <w:sz w:val="22"/>
                <w:szCs w:val="22"/>
              </w:rPr>
            </w:pPr>
            <w:r>
              <w:rPr>
                <w:color w:val="000000"/>
                <w:sz w:val="22"/>
                <w:szCs w:val="22"/>
              </w:rPr>
              <w:t>Completed</w:t>
            </w:r>
          </w:p>
        </w:tc>
      </w:tr>
      <w:tr w:rsidR="00990D27" w:rsidRPr="00C40E52" w14:paraId="01171D9B" w14:textId="77777777" w:rsidTr="00F01F7A">
        <w:trPr>
          <w:trHeight w:val="20"/>
          <w:jc w:val="center"/>
        </w:trPr>
        <w:tc>
          <w:tcPr>
            <w:tcW w:w="6956" w:type="dxa"/>
            <w:noWrap/>
            <w:vAlign w:val="bottom"/>
            <w:hideMark/>
          </w:tcPr>
          <w:p w14:paraId="25622965" w14:textId="77777777" w:rsidR="00990D27" w:rsidRPr="00C40E52" w:rsidRDefault="00990D27" w:rsidP="00990D27">
            <w:pPr>
              <w:spacing w:line="276" w:lineRule="auto"/>
              <w:jc w:val="both"/>
              <w:rPr>
                <w:color w:val="000000"/>
                <w:sz w:val="22"/>
                <w:szCs w:val="22"/>
              </w:rPr>
            </w:pPr>
            <w:r w:rsidRPr="00C40E52">
              <w:rPr>
                <w:color w:val="000000"/>
                <w:sz w:val="22"/>
                <w:szCs w:val="22"/>
              </w:rPr>
              <w:t>Management of Website</w:t>
            </w:r>
          </w:p>
        </w:tc>
        <w:tc>
          <w:tcPr>
            <w:tcW w:w="1864" w:type="dxa"/>
            <w:shd w:val="clear" w:color="auto" w:fill="00B050"/>
            <w:noWrap/>
            <w:vAlign w:val="bottom"/>
            <w:hideMark/>
          </w:tcPr>
          <w:p w14:paraId="41DAC728" w14:textId="3B441490" w:rsidR="00990D27" w:rsidRPr="00C40E52" w:rsidRDefault="00BA7B39" w:rsidP="00990D27">
            <w:pPr>
              <w:spacing w:line="276" w:lineRule="auto"/>
              <w:jc w:val="both"/>
              <w:rPr>
                <w:color w:val="000000"/>
                <w:sz w:val="22"/>
                <w:szCs w:val="22"/>
              </w:rPr>
            </w:pPr>
            <w:r>
              <w:rPr>
                <w:color w:val="000000"/>
                <w:sz w:val="22"/>
                <w:szCs w:val="22"/>
              </w:rPr>
              <w:t>Completed</w:t>
            </w:r>
          </w:p>
        </w:tc>
      </w:tr>
      <w:tr w:rsidR="00990D27" w:rsidRPr="00C40E52" w14:paraId="1ED81FDC" w14:textId="77777777" w:rsidTr="00F01F7A">
        <w:trPr>
          <w:trHeight w:val="20"/>
          <w:jc w:val="center"/>
        </w:trPr>
        <w:tc>
          <w:tcPr>
            <w:tcW w:w="6956" w:type="dxa"/>
            <w:noWrap/>
            <w:vAlign w:val="bottom"/>
            <w:hideMark/>
          </w:tcPr>
          <w:p w14:paraId="5A2D4CED" w14:textId="0685C62E" w:rsidR="00990D27" w:rsidRPr="00C40E52" w:rsidRDefault="00990D27" w:rsidP="00990D27">
            <w:pPr>
              <w:spacing w:line="276" w:lineRule="auto"/>
              <w:jc w:val="both"/>
              <w:rPr>
                <w:color w:val="000000"/>
                <w:sz w:val="22"/>
                <w:szCs w:val="22"/>
              </w:rPr>
            </w:pPr>
            <w:r w:rsidRPr="00C40E52">
              <w:rPr>
                <w:color w:val="000000"/>
                <w:sz w:val="22"/>
                <w:szCs w:val="22"/>
              </w:rPr>
              <w:t>Capacity Building</w:t>
            </w:r>
          </w:p>
        </w:tc>
        <w:tc>
          <w:tcPr>
            <w:tcW w:w="1864" w:type="dxa"/>
            <w:shd w:val="clear" w:color="auto" w:fill="00B050"/>
            <w:noWrap/>
            <w:vAlign w:val="bottom"/>
            <w:hideMark/>
          </w:tcPr>
          <w:p w14:paraId="16ED0B53" w14:textId="14A71DC9" w:rsidR="00990D27" w:rsidRPr="00C40E52" w:rsidRDefault="00BA7B39" w:rsidP="00990D27">
            <w:pPr>
              <w:spacing w:line="276" w:lineRule="auto"/>
              <w:jc w:val="both"/>
              <w:rPr>
                <w:color w:val="000000"/>
                <w:sz w:val="22"/>
                <w:szCs w:val="22"/>
              </w:rPr>
            </w:pPr>
            <w:r>
              <w:rPr>
                <w:color w:val="000000"/>
                <w:sz w:val="22"/>
                <w:szCs w:val="22"/>
              </w:rPr>
              <w:t>Completed</w:t>
            </w:r>
          </w:p>
        </w:tc>
      </w:tr>
      <w:tr w:rsidR="00A212EB" w:rsidRPr="00C40E52" w14:paraId="42312BBD" w14:textId="77777777" w:rsidTr="00F01F7A">
        <w:trPr>
          <w:trHeight w:val="20"/>
          <w:jc w:val="center"/>
        </w:trPr>
        <w:tc>
          <w:tcPr>
            <w:tcW w:w="6956" w:type="dxa"/>
            <w:noWrap/>
            <w:vAlign w:val="bottom"/>
          </w:tcPr>
          <w:p w14:paraId="693B084D" w14:textId="0424D9B0" w:rsidR="00A212EB" w:rsidRPr="00C40E52" w:rsidRDefault="00967047" w:rsidP="00990D27">
            <w:pPr>
              <w:spacing w:line="276" w:lineRule="auto"/>
              <w:jc w:val="both"/>
              <w:rPr>
                <w:color w:val="000000"/>
                <w:sz w:val="22"/>
                <w:szCs w:val="22"/>
              </w:rPr>
            </w:pPr>
            <w:r>
              <w:rPr>
                <w:color w:val="000000"/>
                <w:sz w:val="22"/>
                <w:szCs w:val="22"/>
              </w:rPr>
              <w:t>ASM Study</w:t>
            </w:r>
          </w:p>
        </w:tc>
        <w:tc>
          <w:tcPr>
            <w:tcW w:w="1864" w:type="dxa"/>
            <w:shd w:val="clear" w:color="auto" w:fill="FFFF00"/>
            <w:noWrap/>
            <w:vAlign w:val="bottom"/>
          </w:tcPr>
          <w:p w14:paraId="18BA67EA" w14:textId="6A2E732C" w:rsidR="00A212EB" w:rsidRPr="00FC1A81" w:rsidRDefault="00967047" w:rsidP="00990D27">
            <w:pPr>
              <w:spacing w:line="276" w:lineRule="auto"/>
              <w:jc w:val="both"/>
              <w:rPr>
                <w:color w:val="000000"/>
                <w:sz w:val="22"/>
                <w:szCs w:val="22"/>
                <w:highlight w:val="yellow"/>
              </w:rPr>
            </w:pPr>
            <w:r w:rsidRPr="00FC1A81">
              <w:rPr>
                <w:color w:val="000000"/>
                <w:sz w:val="22"/>
                <w:szCs w:val="22"/>
                <w:highlight w:val="yellow"/>
              </w:rPr>
              <w:t>I</w:t>
            </w:r>
            <w:r w:rsidR="00BA7B39" w:rsidRPr="00FC1A81">
              <w:rPr>
                <w:color w:val="000000"/>
                <w:sz w:val="22"/>
                <w:szCs w:val="22"/>
                <w:highlight w:val="yellow"/>
              </w:rPr>
              <w:t>n - Progress</w:t>
            </w:r>
            <w:r w:rsidRPr="00FC1A81">
              <w:rPr>
                <w:color w:val="000000"/>
                <w:sz w:val="22"/>
                <w:szCs w:val="22"/>
                <w:highlight w:val="yellow"/>
              </w:rPr>
              <w:t xml:space="preserve"> </w:t>
            </w:r>
          </w:p>
        </w:tc>
      </w:tr>
      <w:tr w:rsidR="0068479C" w:rsidRPr="00C40E52" w14:paraId="4A2EF602" w14:textId="77777777" w:rsidTr="00F01F7A">
        <w:trPr>
          <w:trHeight w:val="20"/>
          <w:jc w:val="center"/>
        </w:trPr>
        <w:tc>
          <w:tcPr>
            <w:tcW w:w="6956" w:type="dxa"/>
            <w:noWrap/>
            <w:vAlign w:val="bottom"/>
          </w:tcPr>
          <w:p w14:paraId="1461191C" w14:textId="5E9D4EEF" w:rsidR="0068479C" w:rsidRDefault="0068479C" w:rsidP="0068479C">
            <w:pPr>
              <w:spacing w:line="276" w:lineRule="auto"/>
              <w:jc w:val="both"/>
              <w:rPr>
                <w:color w:val="000000"/>
                <w:sz w:val="22"/>
                <w:szCs w:val="22"/>
              </w:rPr>
            </w:pPr>
            <w:r>
              <w:rPr>
                <w:color w:val="000000"/>
                <w:sz w:val="22"/>
                <w:szCs w:val="22"/>
              </w:rPr>
              <w:t xml:space="preserve">Other </w:t>
            </w:r>
            <w:r w:rsidRPr="00C40E52">
              <w:rPr>
                <w:color w:val="000000"/>
                <w:sz w:val="22"/>
                <w:szCs w:val="22"/>
              </w:rPr>
              <w:t>Data Analyses</w:t>
            </w:r>
          </w:p>
        </w:tc>
        <w:tc>
          <w:tcPr>
            <w:tcW w:w="1864" w:type="dxa"/>
            <w:shd w:val="clear" w:color="auto" w:fill="FFFF00"/>
            <w:noWrap/>
            <w:vAlign w:val="bottom"/>
          </w:tcPr>
          <w:p w14:paraId="6C0D02BD" w14:textId="53EA078E" w:rsidR="0068479C" w:rsidRPr="00FC1A81" w:rsidRDefault="0068479C" w:rsidP="0068479C">
            <w:pPr>
              <w:spacing w:line="276" w:lineRule="auto"/>
              <w:jc w:val="both"/>
              <w:rPr>
                <w:color w:val="000000"/>
                <w:sz w:val="22"/>
                <w:szCs w:val="22"/>
                <w:highlight w:val="yellow"/>
              </w:rPr>
            </w:pPr>
            <w:r w:rsidRPr="00C40E52">
              <w:rPr>
                <w:color w:val="000000"/>
                <w:sz w:val="22"/>
                <w:szCs w:val="22"/>
              </w:rPr>
              <w:t>In</w:t>
            </w:r>
            <w:r w:rsidRPr="00FC1A81">
              <w:rPr>
                <w:color w:val="000000"/>
                <w:sz w:val="22"/>
                <w:szCs w:val="22"/>
                <w:highlight w:val="yellow"/>
              </w:rPr>
              <w:t>-Progress</w:t>
            </w:r>
          </w:p>
        </w:tc>
      </w:tr>
    </w:tbl>
    <w:p w14:paraId="644AF0F1" w14:textId="77777777" w:rsidR="00532AB8" w:rsidRPr="00C40E52" w:rsidRDefault="00532AB8" w:rsidP="00B33093">
      <w:pPr>
        <w:spacing w:line="276" w:lineRule="auto"/>
        <w:jc w:val="both"/>
        <w:rPr>
          <w:rFonts w:eastAsia="Calibri"/>
          <w:color w:val="373A3C"/>
          <w:sz w:val="22"/>
          <w:szCs w:val="22"/>
          <w:shd w:val="clear" w:color="auto" w:fill="FFFFFF"/>
        </w:rPr>
      </w:pPr>
    </w:p>
    <w:p w14:paraId="2A0A4C55" w14:textId="151B21AE" w:rsidR="00532AB8" w:rsidRPr="00A6788B" w:rsidRDefault="00532AB8" w:rsidP="006C2062">
      <w:pPr>
        <w:pStyle w:val="Heading1"/>
        <w:shd w:val="clear" w:color="auto" w:fill="45B0E1" w:themeFill="accent1" w:themeFillTint="99"/>
        <w:spacing w:line="276" w:lineRule="auto"/>
        <w:rPr>
          <w:b/>
          <w:bCs/>
          <w:sz w:val="28"/>
          <w:szCs w:val="28"/>
        </w:rPr>
      </w:pPr>
      <w:bookmarkStart w:id="18" w:name="_Toc164687922"/>
      <w:bookmarkStart w:id="19" w:name="_Toc225776196"/>
      <w:r w:rsidRPr="00A6788B">
        <w:rPr>
          <w:b/>
          <w:bCs/>
          <w:sz w:val="28"/>
          <w:szCs w:val="28"/>
        </w:rPr>
        <w:t xml:space="preserve">Fully </w:t>
      </w:r>
      <w:r w:rsidR="00E059C0" w:rsidRPr="00A6788B">
        <w:rPr>
          <w:b/>
          <w:bCs/>
          <w:sz w:val="28"/>
          <w:szCs w:val="28"/>
        </w:rPr>
        <w:t>completed</w:t>
      </w:r>
      <w:r w:rsidRPr="00A6788B">
        <w:rPr>
          <w:b/>
          <w:bCs/>
          <w:sz w:val="28"/>
          <w:szCs w:val="28"/>
        </w:rPr>
        <w:t xml:space="preserve"> Activities from 202</w:t>
      </w:r>
      <w:r w:rsidR="00F84D07" w:rsidRPr="00A6788B">
        <w:rPr>
          <w:b/>
          <w:bCs/>
          <w:sz w:val="28"/>
          <w:szCs w:val="28"/>
        </w:rPr>
        <w:t>5</w:t>
      </w:r>
      <w:r w:rsidRPr="00A6788B">
        <w:rPr>
          <w:b/>
          <w:bCs/>
          <w:sz w:val="28"/>
          <w:szCs w:val="28"/>
        </w:rPr>
        <w:t xml:space="preserve"> Workplan</w:t>
      </w:r>
      <w:bookmarkEnd w:id="18"/>
      <w:bookmarkEnd w:id="19"/>
    </w:p>
    <w:p w14:paraId="304DC679" w14:textId="041ACE5B" w:rsidR="001C548A" w:rsidRPr="001C548A" w:rsidRDefault="001C548A" w:rsidP="008E4F60">
      <w:pPr>
        <w:pStyle w:val="APR"/>
      </w:pPr>
      <w:bookmarkStart w:id="20" w:name="_Toc225776197"/>
      <w:r w:rsidRPr="001C548A">
        <w:t>1. EITI Reporting – Guyana’s 7th EITI Report (FY 202</w:t>
      </w:r>
      <w:r w:rsidR="00530CF5">
        <w:t>3</w:t>
      </w:r>
      <w:r w:rsidRPr="001C548A">
        <w:t>)</w:t>
      </w:r>
      <w:bookmarkEnd w:id="20"/>
    </w:p>
    <w:p w14:paraId="5B32F1AE" w14:textId="77777777" w:rsidR="000901A1" w:rsidRDefault="000345A6" w:rsidP="000345A6">
      <w:pPr>
        <w:spacing w:line="276" w:lineRule="auto"/>
        <w:jc w:val="both"/>
        <w:rPr>
          <w:rFonts w:eastAsia="Calibri"/>
          <w:color w:val="373A3C"/>
          <w:sz w:val="22"/>
          <w:szCs w:val="22"/>
          <w:shd w:val="clear" w:color="auto" w:fill="FFFFFF"/>
        </w:rPr>
      </w:pPr>
      <w:r w:rsidRPr="000345A6">
        <w:rPr>
          <w:rFonts w:eastAsia="Calibri"/>
          <w:color w:val="373A3C"/>
          <w:sz w:val="22"/>
          <w:szCs w:val="22"/>
          <w:shd w:val="clear" w:color="auto" w:fill="FFFFFF"/>
        </w:rPr>
        <w:t>Following approval of the Terms of Reference on 27 March 2024, BDO Professional Services was engaged as the Independent Administrator (IA) to prepare both the FY 2022 and FY 2023 EITI Reports.</w:t>
      </w:r>
      <w:r w:rsidR="00E925ED">
        <w:rPr>
          <w:rFonts w:eastAsia="Calibri"/>
          <w:color w:val="373A3C"/>
          <w:sz w:val="22"/>
          <w:szCs w:val="22"/>
          <w:shd w:val="clear" w:color="auto" w:fill="FFFFFF"/>
        </w:rPr>
        <w:t xml:space="preserve"> </w:t>
      </w:r>
    </w:p>
    <w:p w14:paraId="47F207FA" w14:textId="77777777" w:rsidR="000901A1" w:rsidRDefault="000901A1" w:rsidP="000345A6">
      <w:pPr>
        <w:spacing w:line="276" w:lineRule="auto"/>
        <w:jc w:val="both"/>
        <w:rPr>
          <w:rFonts w:eastAsia="Calibri"/>
          <w:color w:val="373A3C"/>
          <w:sz w:val="22"/>
          <w:szCs w:val="22"/>
          <w:shd w:val="clear" w:color="auto" w:fill="FFFFFF"/>
        </w:rPr>
      </w:pPr>
    </w:p>
    <w:p w14:paraId="16A80A68" w14:textId="4C6E8BB2" w:rsidR="000345A6" w:rsidRDefault="000345A6" w:rsidP="000345A6">
      <w:pPr>
        <w:spacing w:line="276" w:lineRule="auto"/>
        <w:jc w:val="both"/>
        <w:rPr>
          <w:rFonts w:eastAsia="Calibri"/>
          <w:color w:val="373A3C"/>
          <w:sz w:val="22"/>
          <w:szCs w:val="22"/>
          <w:shd w:val="clear" w:color="auto" w:fill="FFFFFF"/>
        </w:rPr>
      </w:pPr>
      <w:r w:rsidRPr="000345A6">
        <w:rPr>
          <w:rFonts w:eastAsia="Calibri"/>
          <w:color w:val="373A3C"/>
          <w:sz w:val="22"/>
          <w:szCs w:val="22"/>
          <w:shd w:val="clear" w:color="auto" w:fill="FFFFFF"/>
        </w:rPr>
        <w:t>While the FY 2022 Report was completed under this arrangement</w:t>
      </w:r>
      <w:r w:rsidR="00E925ED">
        <w:rPr>
          <w:rFonts w:eastAsia="Calibri"/>
          <w:color w:val="373A3C"/>
          <w:sz w:val="22"/>
          <w:szCs w:val="22"/>
          <w:shd w:val="clear" w:color="auto" w:fill="FFFFFF"/>
        </w:rPr>
        <w:t xml:space="preserve"> in December 2024</w:t>
      </w:r>
      <w:r w:rsidRPr="000345A6">
        <w:rPr>
          <w:rFonts w:eastAsia="Calibri"/>
          <w:color w:val="373A3C"/>
          <w:sz w:val="22"/>
          <w:szCs w:val="22"/>
          <w:shd w:val="clear" w:color="auto" w:fill="FFFFFF"/>
        </w:rPr>
        <w:t xml:space="preserve">, commencement of work on the FY 2023 Report was delayed due to the reconstitution of the Multi-Stakeholder Group (MSG), </w:t>
      </w:r>
      <w:r w:rsidRPr="000345A6">
        <w:rPr>
          <w:rFonts w:eastAsia="Calibri"/>
          <w:color w:val="373A3C"/>
          <w:sz w:val="22"/>
          <w:szCs w:val="22"/>
          <w:shd w:val="clear" w:color="auto" w:fill="FFFFFF"/>
        </w:rPr>
        <w:lastRenderedPageBreak/>
        <w:t>which was finalized in August 2025. As the MSG provides oversight and approvals at key stages of the reporting process, the IA could not formally initiate the FY 2023 reporting cycle until the new MSG was in place. No additional approval of the Terms of Reference was required.</w:t>
      </w:r>
    </w:p>
    <w:p w14:paraId="4904A22D" w14:textId="77777777" w:rsidR="00EE52E6" w:rsidRPr="000345A6" w:rsidRDefault="00EE52E6" w:rsidP="000345A6">
      <w:pPr>
        <w:spacing w:line="276" w:lineRule="auto"/>
        <w:jc w:val="both"/>
        <w:rPr>
          <w:rFonts w:eastAsia="Calibri"/>
          <w:color w:val="373A3C"/>
          <w:sz w:val="22"/>
          <w:szCs w:val="22"/>
          <w:shd w:val="clear" w:color="auto" w:fill="FFFFFF"/>
        </w:rPr>
      </w:pPr>
    </w:p>
    <w:p w14:paraId="47A3F479" w14:textId="428763A5" w:rsidR="000345A6" w:rsidRDefault="000345A6" w:rsidP="000345A6">
      <w:pPr>
        <w:spacing w:line="276" w:lineRule="auto"/>
        <w:jc w:val="both"/>
        <w:rPr>
          <w:rFonts w:eastAsia="Calibri"/>
          <w:color w:val="373A3C"/>
          <w:sz w:val="22"/>
          <w:szCs w:val="22"/>
          <w:shd w:val="clear" w:color="auto" w:fill="FFFFFF"/>
        </w:rPr>
      </w:pPr>
      <w:r w:rsidRPr="000345A6">
        <w:rPr>
          <w:rFonts w:eastAsia="Calibri"/>
          <w:color w:val="373A3C"/>
          <w:sz w:val="22"/>
          <w:szCs w:val="22"/>
          <w:shd w:val="clear" w:color="auto" w:fill="FFFFFF"/>
        </w:rPr>
        <w:t xml:space="preserve">Following </w:t>
      </w:r>
      <w:r w:rsidR="00EE52E6">
        <w:rPr>
          <w:rFonts w:eastAsia="Calibri"/>
          <w:color w:val="373A3C"/>
          <w:sz w:val="22"/>
          <w:szCs w:val="22"/>
          <w:shd w:val="clear" w:color="auto" w:fill="FFFFFF"/>
        </w:rPr>
        <w:t xml:space="preserve">MSG </w:t>
      </w:r>
      <w:r w:rsidRPr="000345A6">
        <w:rPr>
          <w:rFonts w:eastAsia="Calibri"/>
          <w:color w:val="373A3C"/>
          <w:sz w:val="22"/>
          <w:szCs w:val="22"/>
          <w:shd w:val="clear" w:color="auto" w:fill="FFFFFF"/>
        </w:rPr>
        <w:t>reconstitution, the IA proceeded with data collection and stakeholder engagement for the FY 2023 Report.</w:t>
      </w:r>
    </w:p>
    <w:p w14:paraId="679ABF41" w14:textId="77777777" w:rsidR="00B032F1" w:rsidRPr="000345A6" w:rsidRDefault="00B032F1" w:rsidP="000345A6">
      <w:pPr>
        <w:spacing w:line="276" w:lineRule="auto"/>
        <w:jc w:val="both"/>
        <w:rPr>
          <w:rFonts w:eastAsia="Calibri"/>
          <w:color w:val="373A3C"/>
          <w:sz w:val="22"/>
          <w:szCs w:val="22"/>
          <w:shd w:val="clear" w:color="auto" w:fill="FFFFFF"/>
        </w:rPr>
      </w:pPr>
    </w:p>
    <w:p w14:paraId="77E6B03D" w14:textId="633ED020" w:rsidR="000345A6" w:rsidRDefault="000345A6" w:rsidP="000345A6">
      <w:pPr>
        <w:spacing w:line="276" w:lineRule="auto"/>
        <w:jc w:val="both"/>
        <w:rPr>
          <w:rFonts w:eastAsia="Calibri"/>
          <w:color w:val="373A3C"/>
          <w:sz w:val="22"/>
          <w:szCs w:val="22"/>
          <w:shd w:val="clear" w:color="auto" w:fill="FFFFFF"/>
        </w:rPr>
      </w:pPr>
      <w:r w:rsidRPr="000345A6">
        <w:rPr>
          <w:rFonts w:eastAsia="Calibri"/>
          <w:color w:val="373A3C"/>
          <w:sz w:val="22"/>
          <w:szCs w:val="22"/>
          <w:shd w:val="clear" w:color="auto" w:fill="FFFFFF"/>
        </w:rPr>
        <w:t>Unlike previous reporting cycles, no formal reporting workshop was convened at the outset. This was due to the minimal changes to the reporting templates and the capacity built among government and industry stakeholders during preparation of the FY 2022 Report</w:t>
      </w:r>
      <w:r w:rsidR="00436D3A">
        <w:rPr>
          <w:rFonts w:eastAsia="Calibri"/>
          <w:color w:val="373A3C"/>
          <w:sz w:val="22"/>
          <w:szCs w:val="22"/>
          <w:shd w:val="clear" w:color="auto" w:fill="FFFFFF"/>
        </w:rPr>
        <w:t xml:space="preserve"> in year 2024</w:t>
      </w:r>
      <w:r w:rsidRPr="000345A6">
        <w:rPr>
          <w:rFonts w:eastAsia="Calibri"/>
          <w:color w:val="373A3C"/>
          <w:sz w:val="22"/>
          <w:szCs w:val="22"/>
          <w:shd w:val="clear" w:color="auto" w:fill="FFFFFF"/>
        </w:rPr>
        <w:t>.</w:t>
      </w:r>
    </w:p>
    <w:p w14:paraId="0CA473DC" w14:textId="77777777" w:rsidR="00436D3A" w:rsidRPr="000345A6" w:rsidRDefault="00436D3A" w:rsidP="000345A6">
      <w:pPr>
        <w:spacing w:line="276" w:lineRule="auto"/>
        <w:jc w:val="both"/>
        <w:rPr>
          <w:rFonts w:eastAsia="Calibri"/>
          <w:color w:val="373A3C"/>
          <w:sz w:val="22"/>
          <w:szCs w:val="22"/>
          <w:shd w:val="clear" w:color="auto" w:fill="FFFFFF"/>
        </w:rPr>
      </w:pPr>
    </w:p>
    <w:p w14:paraId="68041A6E" w14:textId="77777777" w:rsidR="000345A6" w:rsidRDefault="000345A6" w:rsidP="000345A6">
      <w:pPr>
        <w:spacing w:line="276" w:lineRule="auto"/>
        <w:jc w:val="both"/>
        <w:rPr>
          <w:rFonts w:eastAsia="Calibri"/>
          <w:color w:val="373A3C"/>
          <w:sz w:val="22"/>
          <w:szCs w:val="22"/>
          <w:shd w:val="clear" w:color="auto" w:fill="FFFFFF"/>
        </w:rPr>
      </w:pPr>
      <w:r w:rsidRPr="000345A6">
        <w:rPr>
          <w:rFonts w:eastAsia="Calibri"/>
          <w:color w:val="373A3C"/>
          <w:sz w:val="22"/>
          <w:szCs w:val="22"/>
          <w:shd w:val="clear" w:color="auto" w:fill="FFFFFF"/>
        </w:rPr>
        <w:t>During the reporting process, some reporting entities raised concerns regarding the shortened timeline for submission of reporting templates, the unavailability of accountants, and delays in finalizing audited financial statements. These challenges were compounded by competing end-of-year institutional commitments. Close coordination between the IA and reporting entities was therefore required to facilitate timely completion.</w:t>
      </w:r>
    </w:p>
    <w:p w14:paraId="0EBE1D55" w14:textId="77777777" w:rsidR="00CF1566" w:rsidRPr="000345A6" w:rsidRDefault="00CF1566" w:rsidP="000345A6">
      <w:pPr>
        <w:spacing w:line="276" w:lineRule="auto"/>
        <w:jc w:val="both"/>
        <w:rPr>
          <w:rFonts w:eastAsia="Calibri"/>
          <w:color w:val="373A3C"/>
          <w:sz w:val="22"/>
          <w:szCs w:val="22"/>
          <w:shd w:val="clear" w:color="auto" w:fill="FFFFFF"/>
        </w:rPr>
      </w:pPr>
    </w:p>
    <w:p w14:paraId="14CC4460" w14:textId="6BACFA4A" w:rsidR="00B747A3" w:rsidRPr="008C77A5" w:rsidRDefault="000345A6" w:rsidP="008C77A5">
      <w:pPr>
        <w:spacing w:line="276" w:lineRule="auto"/>
        <w:jc w:val="both"/>
        <w:rPr>
          <w:rFonts w:eastAsia="Calibri"/>
          <w:color w:val="373A3C"/>
          <w:sz w:val="22"/>
          <w:szCs w:val="22"/>
          <w:shd w:val="clear" w:color="auto" w:fill="FFFFFF"/>
        </w:rPr>
      </w:pPr>
      <w:r w:rsidRPr="000345A6">
        <w:rPr>
          <w:rFonts w:eastAsia="Calibri"/>
          <w:color w:val="373A3C"/>
          <w:sz w:val="22"/>
          <w:szCs w:val="22"/>
          <w:shd w:val="clear" w:color="auto" w:fill="FFFFFF"/>
        </w:rPr>
        <w:t>Despite these constraints, the FY 2023 EITI Report was successfully completed, approved by the MSG, and published on 31 December 2025.</w:t>
      </w:r>
    </w:p>
    <w:p w14:paraId="497920F4" w14:textId="77777777" w:rsidR="00703C2E" w:rsidRPr="00542EF9" w:rsidRDefault="00703C2E" w:rsidP="00E14B34">
      <w:pPr>
        <w:pStyle w:val="APR"/>
      </w:pPr>
      <w:bookmarkStart w:id="21" w:name="_Toc225776198"/>
      <w:r w:rsidRPr="00542EF9">
        <w:t>2. Communications Strategy (2021–2025)</w:t>
      </w:r>
      <w:bookmarkStart w:id="22" w:name="_Toc164687926"/>
      <w:bookmarkEnd w:id="21"/>
    </w:p>
    <w:p w14:paraId="6FE467B9" w14:textId="66CC9F12" w:rsidR="00542EF9" w:rsidRPr="00542EF9" w:rsidRDefault="00703C2E" w:rsidP="00542EF9">
      <w:pPr>
        <w:jc w:val="both"/>
        <w:rPr>
          <w:sz w:val="22"/>
          <w:szCs w:val="22"/>
          <w:shd w:val="clear" w:color="auto" w:fill="FFFFFF"/>
        </w:rPr>
      </w:pPr>
      <w:r w:rsidRPr="00542EF9">
        <w:rPr>
          <w:sz w:val="22"/>
          <w:szCs w:val="22"/>
          <w:shd w:val="clear" w:color="auto" w:fill="FFFFFF"/>
        </w:rPr>
        <w:t>The GYEITI Communications Strategy (2021–2025), approved in August 2021, provides the framework for annual communication action plans.</w:t>
      </w:r>
      <w:r w:rsidR="00B747A3" w:rsidRPr="00542EF9">
        <w:rPr>
          <w:sz w:val="22"/>
          <w:szCs w:val="22"/>
          <w:shd w:val="clear" w:color="auto" w:fill="FFFFFF"/>
        </w:rPr>
        <w:t xml:space="preserve"> </w:t>
      </w:r>
      <w:r w:rsidRPr="00542EF9">
        <w:rPr>
          <w:sz w:val="22"/>
          <w:szCs w:val="22"/>
          <w:shd w:val="clear" w:color="auto" w:fill="FFFFFF"/>
        </w:rPr>
        <w:t xml:space="preserve">While several communication activities were approved for implementation in 2023 and 2024, institutional challenges within both the Secretariat and MSG resulted in delays. Outstanding activities were rolled over and </w:t>
      </w:r>
      <w:r w:rsidR="00F74C3E">
        <w:rPr>
          <w:sz w:val="22"/>
          <w:szCs w:val="22"/>
          <w:shd w:val="clear" w:color="auto" w:fill="FFFFFF"/>
        </w:rPr>
        <w:t xml:space="preserve">successfully </w:t>
      </w:r>
      <w:r w:rsidRPr="00542EF9">
        <w:rPr>
          <w:sz w:val="22"/>
          <w:szCs w:val="22"/>
          <w:shd w:val="clear" w:color="auto" w:fill="FFFFFF"/>
        </w:rPr>
        <w:t>incorporated into the 2025 implementation cycle.</w:t>
      </w:r>
    </w:p>
    <w:p w14:paraId="223ED80C" w14:textId="3898A643" w:rsidR="00A03E9C" w:rsidRPr="00542EF9" w:rsidRDefault="00B26901" w:rsidP="00E14B34">
      <w:pPr>
        <w:pStyle w:val="APR"/>
      </w:pPr>
      <w:bookmarkStart w:id="23" w:name="_Toc225776199"/>
      <w:bookmarkEnd w:id="22"/>
      <w:r w:rsidRPr="00542EF9">
        <w:t>3</w:t>
      </w:r>
      <w:r w:rsidR="00A03E9C" w:rsidRPr="00542EF9">
        <w:t>. Stakeholder Engagement – 2025</w:t>
      </w:r>
      <w:r w:rsidR="00914296">
        <w:t>:</w:t>
      </w:r>
      <w:bookmarkEnd w:id="23"/>
    </w:p>
    <w:p w14:paraId="5E0CE592" w14:textId="77777777" w:rsidR="00B26901" w:rsidRPr="008D0574" w:rsidRDefault="00A03E9C" w:rsidP="008D0574">
      <w:pPr>
        <w:pStyle w:val="ListParagraph"/>
        <w:numPr>
          <w:ilvl w:val="0"/>
          <w:numId w:val="88"/>
        </w:numPr>
        <w:rPr>
          <w:b/>
          <w:bCs/>
        </w:rPr>
      </w:pPr>
      <w:r w:rsidRPr="008D0574">
        <w:rPr>
          <w:b/>
          <w:bCs/>
          <w:sz w:val="22"/>
          <w:szCs w:val="22"/>
        </w:rPr>
        <w:t>School Engagements and EITI Clubs</w:t>
      </w:r>
    </w:p>
    <w:p w14:paraId="09CF5F40" w14:textId="3C532DB2" w:rsidR="00A03E9C" w:rsidRPr="00A17C96" w:rsidRDefault="00A03E9C" w:rsidP="005F5129">
      <w:pPr>
        <w:jc w:val="both"/>
        <w:rPr>
          <w:b/>
          <w:bCs/>
          <w:sz w:val="22"/>
          <w:szCs w:val="22"/>
        </w:rPr>
      </w:pPr>
      <w:r w:rsidRPr="00A17C96">
        <w:rPr>
          <w:sz w:val="22"/>
          <w:szCs w:val="22"/>
        </w:rPr>
        <w:t xml:space="preserve">From January 28, 2025, the Secretariat conducted a series of student engagement sessions across several secondary schools in Georgetown, including Christ Church Secondary School, Cyril Potter College of Education, Saint Stanislaus College, North </w:t>
      </w:r>
      <w:proofErr w:type="spellStart"/>
      <w:r w:rsidRPr="00A17C96">
        <w:rPr>
          <w:sz w:val="22"/>
          <w:szCs w:val="22"/>
        </w:rPr>
        <w:t>Ruimveldt</w:t>
      </w:r>
      <w:proofErr w:type="spellEnd"/>
      <w:r w:rsidRPr="00A17C96">
        <w:rPr>
          <w:sz w:val="22"/>
          <w:szCs w:val="22"/>
        </w:rPr>
        <w:t xml:space="preserve"> Multilateral School, St. Rose’s High School, The Bishop’s High School, Queen’s College, President’s College, and St. Joseph High School.</w:t>
      </w:r>
    </w:p>
    <w:p w14:paraId="7385D18B" w14:textId="77777777" w:rsidR="00A03E9C" w:rsidRDefault="00A03E9C" w:rsidP="005F5129">
      <w:pPr>
        <w:jc w:val="both"/>
        <w:rPr>
          <w:sz w:val="22"/>
          <w:szCs w:val="22"/>
        </w:rPr>
      </w:pPr>
      <w:r w:rsidRPr="00A17C96">
        <w:rPr>
          <w:sz w:val="22"/>
          <w:szCs w:val="22"/>
        </w:rPr>
        <w:t>The sessions focused on transparency, accountability, and the role of EITI in managing Guyana’s natural resources. Key topics included the Natural Resource Curse, Dutch Disease, corruption, and civic responsibility.</w:t>
      </w:r>
    </w:p>
    <w:p w14:paraId="3BD483CA" w14:textId="77777777" w:rsidR="00B744FB" w:rsidRPr="00A17C96" w:rsidRDefault="00B744FB" w:rsidP="005F5129">
      <w:pPr>
        <w:jc w:val="both"/>
        <w:rPr>
          <w:sz w:val="22"/>
          <w:szCs w:val="22"/>
        </w:rPr>
      </w:pPr>
    </w:p>
    <w:p w14:paraId="5716CB8E" w14:textId="77777777" w:rsidR="008C77A5" w:rsidRPr="008D0574" w:rsidRDefault="00A03E9C" w:rsidP="008D0574">
      <w:pPr>
        <w:pStyle w:val="ListParagraph"/>
        <w:numPr>
          <w:ilvl w:val="0"/>
          <w:numId w:val="88"/>
        </w:numPr>
        <w:jc w:val="both"/>
        <w:rPr>
          <w:b/>
          <w:bCs/>
          <w:sz w:val="22"/>
          <w:szCs w:val="22"/>
        </w:rPr>
      </w:pPr>
      <w:r w:rsidRPr="008D0574">
        <w:rPr>
          <w:b/>
          <w:bCs/>
          <w:sz w:val="22"/>
          <w:szCs w:val="22"/>
        </w:rPr>
        <w:t>Tomorrow’s Transparency Champions – EITI Clubs</w:t>
      </w:r>
    </w:p>
    <w:p w14:paraId="6FC4C3A5" w14:textId="208BF33C" w:rsidR="00A03E9C" w:rsidRPr="00A03E9C" w:rsidRDefault="00A03E9C" w:rsidP="008C77A5">
      <w:pPr>
        <w:jc w:val="both"/>
        <w:rPr>
          <w:sz w:val="22"/>
          <w:szCs w:val="22"/>
        </w:rPr>
      </w:pPr>
      <w:r w:rsidRPr="00A03E9C">
        <w:rPr>
          <w:sz w:val="22"/>
          <w:szCs w:val="22"/>
        </w:rPr>
        <w:t>Christ Church Secondary, the New Guyana School, and Queen’s College established EITI Clubs to engage students in transparency and resource governance. Meeting monthly, students discuss innovative ideas and plan peer education initiatives to raise awareness about EITI and the importance of extractive sector accountability.</w:t>
      </w:r>
    </w:p>
    <w:p w14:paraId="6A927E69" w14:textId="77777777" w:rsidR="00A03E9C" w:rsidRDefault="00A03E9C" w:rsidP="00914296">
      <w:pPr>
        <w:jc w:val="both"/>
        <w:rPr>
          <w:sz w:val="22"/>
          <w:szCs w:val="22"/>
        </w:rPr>
      </w:pPr>
      <w:r w:rsidRPr="00A03E9C">
        <w:rPr>
          <w:sz w:val="22"/>
          <w:szCs w:val="22"/>
        </w:rPr>
        <w:t>The initiative aims to foster a deep understanding of how good governance in the extractive sector contributes to national development. By instilling these principles early, the program encourages lifelong appreciation for transparency, civic participation, and informed debate on resource management, aligned with EITI 2023 Standard principles on stakeholder engagement and public awareness. Plans are underway to expand the program to more public and private schools.</w:t>
      </w:r>
    </w:p>
    <w:p w14:paraId="78F49C85" w14:textId="77777777" w:rsidR="00B744FB" w:rsidRPr="00A03E9C" w:rsidRDefault="00B744FB" w:rsidP="00914296">
      <w:pPr>
        <w:jc w:val="both"/>
        <w:rPr>
          <w:sz w:val="22"/>
          <w:szCs w:val="22"/>
        </w:rPr>
      </w:pPr>
    </w:p>
    <w:p w14:paraId="5BC0765F" w14:textId="77777777" w:rsidR="00463213" w:rsidRPr="005F5129" w:rsidRDefault="00A03E9C" w:rsidP="005F5129">
      <w:pPr>
        <w:pStyle w:val="ListParagraph"/>
        <w:numPr>
          <w:ilvl w:val="0"/>
          <w:numId w:val="88"/>
        </w:numPr>
        <w:rPr>
          <w:b/>
          <w:bCs/>
          <w:sz w:val="22"/>
          <w:szCs w:val="22"/>
        </w:rPr>
      </w:pPr>
      <w:r w:rsidRPr="005F5129">
        <w:rPr>
          <w:b/>
          <w:bCs/>
          <w:sz w:val="22"/>
          <w:szCs w:val="22"/>
        </w:rPr>
        <w:t>Youth Debates on Resource Management</w:t>
      </w:r>
    </w:p>
    <w:p w14:paraId="48E59D42" w14:textId="0A458D85" w:rsidR="00B744FB" w:rsidRDefault="00BE6315" w:rsidP="00E71067">
      <w:pPr>
        <w:jc w:val="both"/>
        <w:rPr>
          <w:sz w:val="22"/>
          <w:szCs w:val="22"/>
        </w:rPr>
      </w:pPr>
      <w:r w:rsidRPr="00BE6315">
        <w:rPr>
          <w:sz w:val="22"/>
          <w:szCs w:val="22"/>
        </w:rPr>
        <w:t xml:space="preserve">On March 19, 2025, GYEITI supported the J.O.F. Haynes Secondary School Debating Competition. Students debated </w:t>
      </w:r>
      <w:r w:rsidRPr="001F6535">
        <w:rPr>
          <w:b/>
          <w:bCs/>
          <w:sz w:val="22"/>
          <w:szCs w:val="22"/>
        </w:rPr>
        <w:t>whether Guyana should add value to extractive resources locally or export raw commodities</w:t>
      </w:r>
      <w:r w:rsidRPr="00BE6315">
        <w:rPr>
          <w:sz w:val="22"/>
          <w:szCs w:val="22"/>
        </w:rPr>
        <w:t>, reflecting discussions on maximizing social and economic benefits. The Moot was selected by the GYEITI MSG/Secretariat.</w:t>
      </w:r>
    </w:p>
    <w:p w14:paraId="53E4EBAF" w14:textId="77777777" w:rsidR="001F6535" w:rsidRPr="00914296" w:rsidRDefault="001F6535" w:rsidP="00E71067">
      <w:pPr>
        <w:jc w:val="both"/>
        <w:rPr>
          <w:sz w:val="22"/>
          <w:szCs w:val="22"/>
        </w:rPr>
      </w:pPr>
    </w:p>
    <w:p w14:paraId="7FAE1085" w14:textId="77777777" w:rsidR="00A03E9C" w:rsidRPr="008679E7" w:rsidRDefault="00A03E9C" w:rsidP="008679E7">
      <w:pPr>
        <w:pStyle w:val="ListParagraph"/>
        <w:numPr>
          <w:ilvl w:val="0"/>
          <w:numId w:val="88"/>
        </w:numPr>
        <w:rPr>
          <w:b/>
          <w:bCs/>
          <w:sz w:val="22"/>
          <w:szCs w:val="22"/>
        </w:rPr>
      </w:pPr>
      <w:r w:rsidRPr="008679E7">
        <w:rPr>
          <w:b/>
          <w:bCs/>
          <w:sz w:val="22"/>
          <w:szCs w:val="22"/>
        </w:rPr>
        <w:t>Engagement with Women in Governance</w:t>
      </w:r>
    </w:p>
    <w:p w14:paraId="704B62F9" w14:textId="4CE6F2FC" w:rsidR="002F3321" w:rsidRDefault="00A03E9C" w:rsidP="00781438">
      <w:pPr>
        <w:jc w:val="both"/>
        <w:rPr>
          <w:sz w:val="22"/>
          <w:szCs w:val="22"/>
        </w:rPr>
      </w:pPr>
      <w:r w:rsidRPr="00A03E9C">
        <w:rPr>
          <w:sz w:val="22"/>
          <w:szCs w:val="22"/>
        </w:rPr>
        <w:t>On April 17, 2025, the Secretariat engaged the Women’s Chamber of Commerce and Industry Guyana (WCCIG) to highlight transparency, governance, gender perspectives, and EITI reporting in the extractive sector.</w:t>
      </w:r>
    </w:p>
    <w:p w14:paraId="36F5EE5E" w14:textId="77777777" w:rsidR="00B744FB" w:rsidRPr="00A03E9C" w:rsidRDefault="00B744FB" w:rsidP="00781438">
      <w:pPr>
        <w:jc w:val="both"/>
        <w:rPr>
          <w:sz w:val="22"/>
          <w:szCs w:val="22"/>
        </w:rPr>
      </w:pPr>
    </w:p>
    <w:p w14:paraId="088D012C" w14:textId="77777777" w:rsidR="00A03E9C" w:rsidRPr="0096326E" w:rsidRDefault="00A03E9C" w:rsidP="0096326E">
      <w:pPr>
        <w:pStyle w:val="ListParagraph"/>
        <w:numPr>
          <w:ilvl w:val="0"/>
          <w:numId w:val="88"/>
        </w:numPr>
        <w:rPr>
          <w:b/>
          <w:bCs/>
          <w:sz w:val="22"/>
          <w:szCs w:val="22"/>
        </w:rPr>
      </w:pPr>
      <w:r w:rsidRPr="0096326E">
        <w:rPr>
          <w:b/>
          <w:bCs/>
          <w:sz w:val="22"/>
          <w:szCs w:val="22"/>
        </w:rPr>
        <w:t>Partnership with the Financial Intelligence Unit (FIU)</w:t>
      </w:r>
    </w:p>
    <w:p w14:paraId="2472A0E5" w14:textId="77777777" w:rsidR="00A03E9C" w:rsidRDefault="00A03E9C" w:rsidP="00051DA7">
      <w:pPr>
        <w:jc w:val="both"/>
        <w:rPr>
          <w:sz w:val="22"/>
          <w:szCs w:val="22"/>
        </w:rPr>
      </w:pPr>
      <w:r w:rsidRPr="00A03E9C">
        <w:rPr>
          <w:sz w:val="22"/>
          <w:szCs w:val="22"/>
        </w:rPr>
        <w:t>In May 2025, GYEITI partnered with the FIU to strengthen Beneficial Ownership (BO) compliance and anti-corruption measures in the extractive sector.</w:t>
      </w:r>
    </w:p>
    <w:p w14:paraId="524F30B0" w14:textId="77777777" w:rsidR="002F3321" w:rsidRPr="00A03E9C" w:rsidRDefault="002F3321" w:rsidP="00051DA7">
      <w:pPr>
        <w:jc w:val="both"/>
        <w:rPr>
          <w:sz w:val="22"/>
          <w:szCs w:val="22"/>
        </w:rPr>
      </w:pPr>
    </w:p>
    <w:p w14:paraId="5C933599" w14:textId="77777777" w:rsidR="00A03E9C" w:rsidRPr="003B3C45" w:rsidRDefault="00A03E9C" w:rsidP="003B3C45">
      <w:pPr>
        <w:pStyle w:val="ListParagraph"/>
        <w:numPr>
          <w:ilvl w:val="0"/>
          <w:numId w:val="88"/>
        </w:numPr>
        <w:rPr>
          <w:b/>
          <w:bCs/>
          <w:sz w:val="22"/>
          <w:szCs w:val="22"/>
        </w:rPr>
      </w:pPr>
      <w:r w:rsidRPr="003B3C45">
        <w:rPr>
          <w:b/>
          <w:bCs/>
          <w:sz w:val="22"/>
          <w:szCs w:val="22"/>
        </w:rPr>
        <w:t>Engagement with Industry and Stakeholders</w:t>
      </w:r>
    </w:p>
    <w:p w14:paraId="167C2891" w14:textId="77777777" w:rsidR="00A03E9C" w:rsidRPr="00A03E9C" w:rsidRDefault="00A03E9C" w:rsidP="002F3321">
      <w:pPr>
        <w:numPr>
          <w:ilvl w:val="0"/>
          <w:numId w:val="63"/>
        </w:numPr>
        <w:jc w:val="both"/>
        <w:rPr>
          <w:sz w:val="22"/>
          <w:szCs w:val="22"/>
        </w:rPr>
      </w:pPr>
      <w:r w:rsidRPr="00A03E9C">
        <w:rPr>
          <w:b/>
          <w:bCs/>
          <w:sz w:val="22"/>
          <w:szCs w:val="22"/>
        </w:rPr>
        <w:t>Guyana Manufacturers’ and Services Association (GMSA)</w:t>
      </w:r>
      <w:r w:rsidRPr="00A03E9C">
        <w:rPr>
          <w:sz w:val="22"/>
          <w:szCs w:val="22"/>
        </w:rPr>
        <w:t>: On May 14, 2025, GYEITI engaged industry stakeholders on transparency and revenue monitoring.</w:t>
      </w:r>
    </w:p>
    <w:p w14:paraId="342D116D" w14:textId="77777777" w:rsidR="00A03E9C" w:rsidRDefault="00A03E9C" w:rsidP="002F3321">
      <w:pPr>
        <w:numPr>
          <w:ilvl w:val="0"/>
          <w:numId w:val="63"/>
        </w:numPr>
        <w:jc w:val="both"/>
        <w:rPr>
          <w:sz w:val="22"/>
          <w:szCs w:val="22"/>
        </w:rPr>
      </w:pPr>
      <w:r w:rsidRPr="00A03E9C">
        <w:rPr>
          <w:b/>
          <w:bCs/>
          <w:sz w:val="22"/>
          <w:szCs w:val="22"/>
        </w:rPr>
        <w:t>2025 Guyana Energy Conference and Supply Chain Expo (Feb 18–21, 2025)</w:t>
      </w:r>
      <w:r w:rsidRPr="00A03E9C">
        <w:rPr>
          <w:sz w:val="22"/>
          <w:szCs w:val="22"/>
        </w:rPr>
        <w:t>: Secretariat representatives engaged public and private sector stakeholders, distributing FY 2022 EITI Reports and educational materials.</w:t>
      </w:r>
    </w:p>
    <w:p w14:paraId="20525662" w14:textId="77777777" w:rsidR="0068671C" w:rsidRPr="00A03E9C" w:rsidRDefault="0068671C" w:rsidP="0068671C">
      <w:pPr>
        <w:ind w:left="720"/>
        <w:jc w:val="both"/>
        <w:rPr>
          <w:sz w:val="22"/>
          <w:szCs w:val="22"/>
        </w:rPr>
      </w:pPr>
    </w:p>
    <w:p w14:paraId="400258C4" w14:textId="77777777" w:rsidR="00A03E9C" w:rsidRPr="00B744FB" w:rsidRDefault="00A03E9C" w:rsidP="00B744FB">
      <w:pPr>
        <w:pStyle w:val="ListParagraph"/>
        <w:numPr>
          <w:ilvl w:val="0"/>
          <w:numId w:val="88"/>
        </w:numPr>
        <w:rPr>
          <w:b/>
          <w:bCs/>
          <w:sz w:val="22"/>
          <w:szCs w:val="22"/>
        </w:rPr>
      </w:pPr>
      <w:r w:rsidRPr="00B744FB">
        <w:rPr>
          <w:b/>
          <w:bCs/>
          <w:sz w:val="22"/>
          <w:szCs w:val="22"/>
        </w:rPr>
        <w:t>Engagement with the Ministry of Amerindian Affairs</w:t>
      </w:r>
    </w:p>
    <w:p w14:paraId="35142CB3" w14:textId="77777777" w:rsidR="00A03E9C" w:rsidRDefault="00A03E9C" w:rsidP="0068671C">
      <w:pPr>
        <w:jc w:val="both"/>
        <w:rPr>
          <w:sz w:val="22"/>
          <w:szCs w:val="22"/>
        </w:rPr>
      </w:pPr>
      <w:r w:rsidRPr="00A03E9C">
        <w:rPr>
          <w:sz w:val="22"/>
          <w:szCs w:val="22"/>
        </w:rPr>
        <w:t>On May 16, 2025, GYEITI met with MOAA to discuss mining on titled lands, FPIC, royalty transfers, and community accountability.</w:t>
      </w:r>
    </w:p>
    <w:p w14:paraId="5DAC5653" w14:textId="77777777" w:rsidR="0068671C" w:rsidRPr="00A03E9C" w:rsidRDefault="0068671C" w:rsidP="0068671C">
      <w:pPr>
        <w:jc w:val="both"/>
        <w:rPr>
          <w:sz w:val="22"/>
          <w:szCs w:val="22"/>
        </w:rPr>
      </w:pPr>
    </w:p>
    <w:p w14:paraId="62038C2B" w14:textId="77777777" w:rsidR="00A03E9C" w:rsidRPr="008C4075" w:rsidRDefault="00A03E9C" w:rsidP="008C4075">
      <w:pPr>
        <w:pStyle w:val="ListParagraph"/>
        <w:numPr>
          <w:ilvl w:val="0"/>
          <w:numId w:val="88"/>
        </w:numPr>
        <w:rPr>
          <w:b/>
          <w:bCs/>
          <w:sz w:val="22"/>
          <w:szCs w:val="22"/>
        </w:rPr>
      </w:pPr>
      <w:proofErr w:type="spellStart"/>
      <w:r w:rsidRPr="008C4075">
        <w:rPr>
          <w:b/>
          <w:bCs/>
          <w:sz w:val="22"/>
          <w:szCs w:val="22"/>
        </w:rPr>
        <w:t>Merundoi</w:t>
      </w:r>
      <w:proofErr w:type="spellEnd"/>
      <w:r w:rsidRPr="008C4075">
        <w:rPr>
          <w:b/>
          <w:bCs/>
          <w:sz w:val="22"/>
          <w:szCs w:val="22"/>
        </w:rPr>
        <w:t xml:space="preserve"> Radio Serial Outreach</w:t>
      </w:r>
    </w:p>
    <w:p w14:paraId="18303076" w14:textId="775929F0" w:rsidR="0068671C" w:rsidRDefault="002965D3" w:rsidP="00D14A13">
      <w:pPr>
        <w:jc w:val="both"/>
        <w:rPr>
          <w:sz w:val="22"/>
          <w:szCs w:val="22"/>
        </w:rPr>
      </w:pPr>
      <w:r w:rsidRPr="002965D3">
        <w:rPr>
          <w:sz w:val="22"/>
          <w:szCs w:val="22"/>
        </w:rPr>
        <w:t xml:space="preserve">The </w:t>
      </w:r>
      <w:r w:rsidRPr="006724F4">
        <w:rPr>
          <w:sz w:val="22"/>
          <w:szCs w:val="22"/>
        </w:rPr>
        <w:t xml:space="preserve">Secretariat integrated EITI themes into the </w:t>
      </w:r>
      <w:proofErr w:type="spellStart"/>
      <w:r w:rsidRPr="004F4D6B">
        <w:rPr>
          <w:b/>
          <w:bCs/>
          <w:i/>
          <w:iCs/>
          <w:sz w:val="22"/>
          <w:szCs w:val="22"/>
        </w:rPr>
        <w:t>Merundoi</w:t>
      </w:r>
      <w:proofErr w:type="spellEnd"/>
      <w:r w:rsidRPr="004F4D6B">
        <w:rPr>
          <w:b/>
          <w:bCs/>
          <w:i/>
          <w:iCs/>
          <w:sz w:val="22"/>
          <w:szCs w:val="22"/>
        </w:rPr>
        <w:t xml:space="preserve"> Radio Serial</w:t>
      </w:r>
      <w:r w:rsidRPr="006724F4">
        <w:rPr>
          <w:sz w:val="22"/>
          <w:szCs w:val="22"/>
        </w:rPr>
        <w:t xml:space="preserve">, highlighting extractive sector transparency, mining safety, and environmental issues. This initiative was broadcast over </w:t>
      </w:r>
      <w:hyperlink r:id="rId19" w:history="1">
        <w:r w:rsidRPr="006724F4">
          <w:rPr>
            <w:rStyle w:val="Hyperlink"/>
            <w:sz w:val="22"/>
            <w:szCs w:val="22"/>
          </w:rPr>
          <w:t>Season 8, Episodes 73–120</w:t>
        </w:r>
      </w:hyperlink>
      <w:r w:rsidRPr="006724F4">
        <w:rPr>
          <w:sz w:val="22"/>
          <w:szCs w:val="22"/>
        </w:rPr>
        <w:t>, and the project is expected to be further developed in 2026.</w:t>
      </w:r>
    </w:p>
    <w:p w14:paraId="6B8E44FC" w14:textId="77777777" w:rsidR="006724F4" w:rsidRPr="00A03E9C" w:rsidRDefault="006724F4" w:rsidP="00D14A13">
      <w:pPr>
        <w:jc w:val="both"/>
        <w:rPr>
          <w:sz w:val="22"/>
          <w:szCs w:val="22"/>
        </w:rPr>
      </w:pPr>
    </w:p>
    <w:p w14:paraId="56A99D0E" w14:textId="77777777" w:rsidR="00A03E9C" w:rsidRPr="008C4075" w:rsidRDefault="00A03E9C" w:rsidP="008C4075">
      <w:pPr>
        <w:pStyle w:val="ListParagraph"/>
        <w:numPr>
          <w:ilvl w:val="0"/>
          <w:numId w:val="88"/>
        </w:numPr>
        <w:rPr>
          <w:b/>
          <w:bCs/>
          <w:sz w:val="22"/>
          <w:szCs w:val="22"/>
        </w:rPr>
      </w:pPr>
      <w:r w:rsidRPr="008C4075">
        <w:rPr>
          <w:b/>
          <w:bCs/>
          <w:sz w:val="22"/>
          <w:szCs w:val="22"/>
        </w:rPr>
        <w:t>Digital Outreach</w:t>
      </w:r>
    </w:p>
    <w:p w14:paraId="43FAFA47" w14:textId="77777777" w:rsidR="00A03E9C" w:rsidRPr="00A03E9C" w:rsidRDefault="00A03E9C" w:rsidP="0068671C">
      <w:pPr>
        <w:jc w:val="both"/>
        <w:rPr>
          <w:sz w:val="22"/>
          <w:szCs w:val="22"/>
        </w:rPr>
      </w:pPr>
      <w:r w:rsidRPr="00A03E9C">
        <w:rPr>
          <w:sz w:val="22"/>
          <w:szCs w:val="22"/>
        </w:rPr>
        <w:t>In 2025, GYEITI launched a new Facebook page to expand public communication, share updates on projects, reports, and events, and foster dialogue with citizens, civil society, and media.</w:t>
      </w:r>
    </w:p>
    <w:p w14:paraId="15084A42" w14:textId="77777777" w:rsidR="00BB1975" w:rsidRPr="002361F8" w:rsidRDefault="00BB1975" w:rsidP="00B33093">
      <w:pPr>
        <w:spacing w:line="276" w:lineRule="auto"/>
        <w:jc w:val="both"/>
        <w:rPr>
          <w:rFonts w:eastAsia="Calibri"/>
          <w:sz w:val="22"/>
          <w:szCs w:val="22"/>
          <w:shd w:val="clear" w:color="auto" w:fill="FFFFFF"/>
        </w:rPr>
      </w:pPr>
    </w:p>
    <w:p w14:paraId="27B1BEF1" w14:textId="74E9084B" w:rsidR="002361F8" w:rsidRPr="008C4075" w:rsidRDefault="002361F8" w:rsidP="008C4075">
      <w:pPr>
        <w:pStyle w:val="ListParagraph"/>
        <w:numPr>
          <w:ilvl w:val="0"/>
          <w:numId w:val="88"/>
        </w:numPr>
        <w:spacing w:line="276" w:lineRule="auto"/>
        <w:rPr>
          <w:b/>
          <w:bCs/>
          <w:sz w:val="22"/>
          <w:szCs w:val="22"/>
          <w:shd w:val="clear" w:color="auto" w:fill="FFFFFF"/>
        </w:rPr>
      </w:pPr>
      <w:bookmarkStart w:id="24" w:name="_Toc164687929"/>
      <w:r w:rsidRPr="008C4075">
        <w:rPr>
          <w:b/>
          <w:bCs/>
          <w:sz w:val="22"/>
          <w:szCs w:val="22"/>
          <w:shd w:val="clear" w:color="auto" w:fill="FFFFFF"/>
        </w:rPr>
        <w:t>GYEITI Newsletters 2025</w:t>
      </w:r>
    </w:p>
    <w:p w14:paraId="0B9DBFAF" w14:textId="5205C8EA" w:rsidR="009E3D26" w:rsidRPr="009E3D26" w:rsidRDefault="009E3D26" w:rsidP="00EB4F13">
      <w:pPr>
        <w:spacing w:line="276" w:lineRule="auto"/>
        <w:jc w:val="both"/>
        <w:rPr>
          <w:sz w:val="22"/>
          <w:szCs w:val="22"/>
          <w:shd w:val="clear" w:color="auto" w:fill="FFFFFF"/>
        </w:rPr>
      </w:pPr>
      <w:r w:rsidRPr="009E3D26">
        <w:rPr>
          <w:sz w:val="22"/>
          <w:szCs w:val="22"/>
          <w:shd w:val="clear" w:color="auto" w:fill="FFFFFF"/>
        </w:rPr>
        <w:t xml:space="preserve">In 2025, the Guyana Extractive Industries Transparency Initiative (GYEITI) produced two newsletters to share updates on its activities, outreach, and sector transparency initiatives. The newsletters cover progress on EITI reporting, stakeholder engagement, school </w:t>
      </w:r>
      <w:proofErr w:type="spellStart"/>
      <w:r w:rsidRPr="009E3D26">
        <w:rPr>
          <w:sz w:val="22"/>
          <w:szCs w:val="22"/>
          <w:shd w:val="clear" w:color="auto" w:fill="FFFFFF"/>
        </w:rPr>
        <w:t>program</w:t>
      </w:r>
      <w:r w:rsidR="003E7031">
        <w:rPr>
          <w:sz w:val="22"/>
          <w:szCs w:val="22"/>
          <w:shd w:val="clear" w:color="auto" w:fill="FFFFFF"/>
        </w:rPr>
        <w:t>me</w:t>
      </w:r>
      <w:r w:rsidRPr="009E3D26">
        <w:rPr>
          <w:sz w:val="22"/>
          <w:szCs w:val="22"/>
          <w:shd w:val="clear" w:color="auto" w:fill="FFFFFF"/>
        </w:rPr>
        <w:t>s</w:t>
      </w:r>
      <w:proofErr w:type="spellEnd"/>
      <w:r w:rsidRPr="009E3D26">
        <w:rPr>
          <w:sz w:val="22"/>
          <w:szCs w:val="22"/>
          <w:shd w:val="clear" w:color="auto" w:fill="FFFFFF"/>
        </w:rPr>
        <w:t>, anti-corruption efforts, systematic disclosure, and broader governance developments in Guyana’s extractive sector.</w:t>
      </w:r>
      <w:r w:rsidR="00926B48">
        <w:rPr>
          <w:sz w:val="22"/>
          <w:szCs w:val="22"/>
          <w:shd w:val="clear" w:color="auto" w:fill="FFFFFF"/>
        </w:rPr>
        <w:t xml:space="preserve"> </w:t>
      </w:r>
      <w:r w:rsidRPr="009E3D26">
        <w:rPr>
          <w:sz w:val="22"/>
          <w:szCs w:val="22"/>
          <w:shd w:val="clear" w:color="auto" w:fill="FFFFFF"/>
        </w:rPr>
        <w:t>Below is a summary of the main topics featured in each newsletter issue</w:t>
      </w:r>
      <w:r w:rsidR="00840362">
        <w:rPr>
          <w:sz w:val="22"/>
          <w:szCs w:val="22"/>
          <w:shd w:val="clear" w:color="auto" w:fill="FFFFFF"/>
        </w:rPr>
        <w:t>:</w:t>
      </w:r>
    </w:p>
    <w:p w14:paraId="3DCF4230" w14:textId="5D2E5D65" w:rsidR="009E3D26" w:rsidRPr="009E3D26" w:rsidRDefault="009E3D26" w:rsidP="00EB4F13">
      <w:pPr>
        <w:spacing w:line="276" w:lineRule="auto"/>
        <w:rPr>
          <w:sz w:val="22"/>
          <w:szCs w:val="22"/>
          <w:shd w:val="clear" w:color="auto" w:fill="FFFFFF"/>
        </w:rPr>
      </w:pPr>
      <w:hyperlink r:id="rId20" w:history="1">
        <w:r w:rsidRPr="009E3D26">
          <w:rPr>
            <w:rStyle w:val="Hyperlink"/>
            <w:sz w:val="22"/>
            <w:szCs w:val="22"/>
            <w:shd w:val="clear" w:color="auto" w:fill="FFFFFF"/>
          </w:rPr>
          <w:t>Issue No. 1 – March 2025</w:t>
        </w:r>
      </w:hyperlink>
    </w:p>
    <w:p w14:paraId="532B0C52" w14:textId="77777777" w:rsidR="009E3D26" w:rsidRPr="009E3D26" w:rsidRDefault="009E3D26" w:rsidP="0008211D">
      <w:pPr>
        <w:numPr>
          <w:ilvl w:val="0"/>
          <w:numId w:val="64"/>
        </w:numPr>
        <w:spacing w:line="276" w:lineRule="auto"/>
        <w:rPr>
          <w:sz w:val="22"/>
          <w:szCs w:val="22"/>
          <w:shd w:val="clear" w:color="auto" w:fill="FFFFFF"/>
        </w:rPr>
      </w:pPr>
      <w:r w:rsidRPr="009E3D26">
        <w:rPr>
          <w:sz w:val="22"/>
          <w:szCs w:val="22"/>
          <w:shd w:val="clear" w:color="auto" w:fill="FFFFFF"/>
        </w:rPr>
        <w:t>FY 2022 IA Report published</w:t>
      </w:r>
    </w:p>
    <w:p w14:paraId="35847A4F" w14:textId="77777777" w:rsidR="009E3D26" w:rsidRPr="009E3D26" w:rsidRDefault="009E3D26" w:rsidP="0008211D">
      <w:pPr>
        <w:numPr>
          <w:ilvl w:val="0"/>
          <w:numId w:val="64"/>
        </w:numPr>
        <w:spacing w:line="276" w:lineRule="auto"/>
        <w:rPr>
          <w:sz w:val="22"/>
          <w:szCs w:val="22"/>
          <w:shd w:val="clear" w:color="auto" w:fill="FFFFFF"/>
        </w:rPr>
      </w:pPr>
      <w:r w:rsidRPr="009E3D26">
        <w:rPr>
          <w:sz w:val="22"/>
          <w:szCs w:val="22"/>
          <w:shd w:val="clear" w:color="auto" w:fill="FFFFFF"/>
        </w:rPr>
        <w:t>FY 2022 Report highlights</w:t>
      </w:r>
    </w:p>
    <w:p w14:paraId="3654FE58" w14:textId="77777777" w:rsidR="009E3D26" w:rsidRPr="009E3D26" w:rsidRDefault="009E3D26" w:rsidP="0008211D">
      <w:pPr>
        <w:numPr>
          <w:ilvl w:val="0"/>
          <w:numId w:val="64"/>
        </w:numPr>
        <w:spacing w:line="276" w:lineRule="auto"/>
        <w:rPr>
          <w:sz w:val="22"/>
          <w:szCs w:val="22"/>
          <w:shd w:val="clear" w:color="auto" w:fill="FFFFFF"/>
        </w:rPr>
      </w:pPr>
      <w:r w:rsidRPr="009E3D26">
        <w:rPr>
          <w:sz w:val="22"/>
          <w:szCs w:val="22"/>
          <w:shd w:val="clear" w:color="auto" w:fill="FFFFFF"/>
        </w:rPr>
        <w:t>2024 EITI highlights</w:t>
      </w:r>
    </w:p>
    <w:p w14:paraId="75AE410B" w14:textId="77777777" w:rsidR="009E3D26" w:rsidRPr="009E3D26" w:rsidRDefault="009E3D26" w:rsidP="0008211D">
      <w:pPr>
        <w:numPr>
          <w:ilvl w:val="0"/>
          <w:numId w:val="64"/>
        </w:numPr>
        <w:spacing w:line="276" w:lineRule="auto"/>
        <w:rPr>
          <w:sz w:val="22"/>
          <w:szCs w:val="22"/>
          <w:shd w:val="clear" w:color="auto" w:fill="FFFFFF"/>
        </w:rPr>
      </w:pPr>
      <w:r w:rsidRPr="009E3D26">
        <w:rPr>
          <w:sz w:val="22"/>
          <w:szCs w:val="22"/>
          <w:shd w:val="clear" w:color="auto" w:fill="FFFFFF"/>
        </w:rPr>
        <w:t>Anti-Corruption Expo</w:t>
      </w:r>
    </w:p>
    <w:p w14:paraId="39024359" w14:textId="77777777" w:rsidR="009E3D26" w:rsidRPr="009E3D26" w:rsidRDefault="009E3D26" w:rsidP="0008211D">
      <w:pPr>
        <w:numPr>
          <w:ilvl w:val="0"/>
          <w:numId w:val="64"/>
        </w:numPr>
        <w:spacing w:line="276" w:lineRule="auto"/>
        <w:rPr>
          <w:sz w:val="22"/>
          <w:szCs w:val="22"/>
          <w:shd w:val="clear" w:color="auto" w:fill="FFFFFF"/>
        </w:rPr>
      </w:pPr>
      <w:r w:rsidRPr="009E3D26">
        <w:rPr>
          <w:sz w:val="22"/>
          <w:szCs w:val="22"/>
          <w:shd w:val="clear" w:color="auto" w:fill="FFFFFF"/>
        </w:rPr>
        <w:t>School engagements</w:t>
      </w:r>
    </w:p>
    <w:p w14:paraId="26DE8D04" w14:textId="77777777" w:rsidR="009E3D26" w:rsidRPr="009E3D26" w:rsidRDefault="009E3D26" w:rsidP="0008211D">
      <w:pPr>
        <w:numPr>
          <w:ilvl w:val="0"/>
          <w:numId w:val="64"/>
        </w:numPr>
        <w:spacing w:line="276" w:lineRule="auto"/>
        <w:rPr>
          <w:sz w:val="22"/>
          <w:szCs w:val="22"/>
          <w:shd w:val="clear" w:color="auto" w:fill="FFFFFF"/>
        </w:rPr>
      </w:pPr>
      <w:r w:rsidRPr="009E3D26">
        <w:rPr>
          <w:sz w:val="22"/>
          <w:szCs w:val="22"/>
          <w:shd w:val="clear" w:color="auto" w:fill="FFFFFF"/>
        </w:rPr>
        <w:lastRenderedPageBreak/>
        <w:t>Guyana Energy Conference and Supply Chain Expo</w:t>
      </w:r>
    </w:p>
    <w:p w14:paraId="42D4AA92" w14:textId="77777777" w:rsidR="009E3D26" w:rsidRPr="009E3D26" w:rsidRDefault="009E3D26" w:rsidP="0008211D">
      <w:pPr>
        <w:numPr>
          <w:ilvl w:val="0"/>
          <w:numId w:val="64"/>
        </w:numPr>
        <w:spacing w:line="276" w:lineRule="auto"/>
        <w:rPr>
          <w:sz w:val="22"/>
          <w:szCs w:val="22"/>
          <w:shd w:val="clear" w:color="auto" w:fill="FFFFFF"/>
        </w:rPr>
      </w:pPr>
      <w:r w:rsidRPr="009E3D26">
        <w:rPr>
          <w:sz w:val="22"/>
          <w:szCs w:val="22"/>
          <w:shd w:val="clear" w:color="auto" w:fill="FFFFFF"/>
        </w:rPr>
        <w:t>Follow our new Facebook page</w:t>
      </w:r>
    </w:p>
    <w:p w14:paraId="6CA4AF46" w14:textId="2AFDACC0" w:rsidR="009E3D26" w:rsidRPr="009E3D26" w:rsidRDefault="009E3D26" w:rsidP="0008211D">
      <w:pPr>
        <w:numPr>
          <w:ilvl w:val="0"/>
          <w:numId w:val="64"/>
        </w:numPr>
        <w:spacing w:line="276" w:lineRule="auto"/>
        <w:rPr>
          <w:sz w:val="22"/>
          <w:szCs w:val="22"/>
          <w:shd w:val="clear" w:color="auto" w:fill="FFFFFF"/>
        </w:rPr>
      </w:pPr>
      <w:r w:rsidRPr="009E3D26">
        <w:rPr>
          <w:sz w:val="22"/>
          <w:szCs w:val="22"/>
          <w:shd w:val="clear" w:color="auto" w:fill="FFFFFF"/>
        </w:rPr>
        <w:t>Article from EITI International website</w:t>
      </w:r>
    </w:p>
    <w:p w14:paraId="04E4FC8E" w14:textId="028A7200" w:rsidR="009E3D26" w:rsidRPr="009E3D26" w:rsidRDefault="009E3D26" w:rsidP="0008211D">
      <w:pPr>
        <w:spacing w:line="276" w:lineRule="auto"/>
        <w:rPr>
          <w:sz w:val="22"/>
          <w:szCs w:val="22"/>
          <w:shd w:val="clear" w:color="auto" w:fill="FFFFFF"/>
        </w:rPr>
      </w:pPr>
      <w:hyperlink r:id="rId21" w:history="1">
        <w:r w:rsidRPr="009E3D26">
          <w:rPr>
            <w:rStyle w:val="Hyperlink"/>
            <w:sz w:val="22"/>
            <w:szCs w:val="22"/>
            <w:shd w:val="clear" w:color="auto" w:fill="FFFFFF"/>
          </w:rPr>
          <w:t>Issue No. 2 – June 2025</w:t>
        </w:r>
      </w:hyperlink>
    </w:p>
    <w:p w14:paraId="5FB98B42" w14:textId="77777777" w:rsidR="009E3D26" w:rsidRPr="009E3D26" w:rsidRDefault="009E3D26" w:rsidP="0008211D">
      <w:pPr>
        <w:numPr>
          <w:ilvl w:val="0"/>
          <w:numId w:val="65"/>
        </w:numPr>
        <w:spacing w:line="276" w:lineRule="auto"/>
        <w:rPr>
          <w:sz w:val="22"/>
          <w:szCs w:val="22"/>
          <w:shd w:val="clear" w:color="auto" w:fill="FFFFFF"/>
        </w:rPr>
      </w:pPr>
      <w:r w:rsidRPr="009E3D26">
        <w:rPr>
          <w:sz w:val="22"/>
          <w:szCs w:val="22"/>
          <w:shd w:val="clear" w:color="auto" w:fill="FFFFFF"/>
        </w:rPr>
        <w:t>GYEITI Takes Transparency to the Next Level with Systematic Disclosure</w:t>
      </w:r>
    </w:p>
    <w:p w14:paraId="6C203B3D" w14:textId="77777777" w:rsidR="009E3D26" w:rsidRPr="009E3D26" w:rsidRDefault="009E3D26" w:rsidP="0008211D">
      <w:pPr>
        <w:numPr>
          <w:ilvl w:val="0"/>
          <w:numId w:val="65"/>
        </w:numPr>
        <w:spacing w:line="276" w:lineRule="auto"/>
        <w:rPr>
          <w:sz w:val="22"/>
          <w:szCs w:val="22"/>
          <w:shd w:val="clear" w:color="auto" w:fill="FFFFFF"/>
        </w:rPr>
      </w:pPr>
      <w:r w:rsidRPr="009E3D26">
        <w:rPr>
          <w:sz w:val="22"/>
          <w:szCs w:val="22"/>
          <w:shd w:val="clear" w:color="auto" w:fill="FFFFFF"/>
        </w:rPr>
        <w:t>Students Debate the Future of Guyana’s Resources at J.O.F. Haynes Competition</w:t>
      </w:r>
    </w:p>
    <w:p w14:paraId="2B8D9251" w14:textId="77777777" w:rsidR="009E3D26" w:rsidRPr="009E3D26" w:rsidRDefault="009E3D26" w:rsidP="0008211D">
      <w:pPr>
        <w:numPr>
          <w:ilvl w:val="0"/>
          <w:numId w:val="65"/>
        </w:numPr>
        <w:spacing w:line="276" w:lineRule="auto"/>
        <w:rPr>
          <w:sz w:val="22"/>
          <w:szCs w:val="22"/>
          <w:shd w:val="clear" w:color="auto" w:fill="FFFFFF"/>
        </w:rPr>
      </w:pPr>
      <w:r w:rsidRPr="009E3D26">
        <w:rPr>
          <w:sz w:val="22"/>
          <w:szCs w:val="22"/>
          <w:shd w:val="clear" w:color="auto" w:fill="FFFFFF"/>
        </w:rPr>
        <w:t>Empowering Transparency: GYEITI Engages Women in Extractive Sector Governance</w:t>
      </w:r>
    </w:p>
    <w:p w14:paraId="7132EA57" w14:textId="77777777" w:rsidR="009E3D26" w:rsidRPr="009E3D26" w:rsidRDefault="009E3D26" w:rsidP="0008211D">
      <w:pPr>
        <w:numPr>
          <w:ilvl w:val="0"/>
          <w:numId w:val="65"/>
        </w:numPr>
        <w:spacing w:line="276" w:lineRule="auto"/>
        <w:rPr>
          <w:sz w:val="22"/>
          <w:szCs w:val="22"/>
          <w:shd w:val="clear" w:color="auto" w:fill="FFFFFF"/>
        </w:rPr>
      </w:pPr>
      <w:r w:rsidRPr="009E3D26">
        <w:rPr>
          <w:sz w:val="22"/>
          <w:szCs w:val="22"/>
          <w:shd w:val="clear" w:color="auto" w:fill="FFFFFF"/>
        </w:rPr>
        <w:t>Advancing Beneficial Ownership and Anti-Corruption: GYEITI Partners with FIU</w:t>
      </w:r>
    </w:p>
    <w:p w14:paraId="4954FF4B" w14:textId="77777777" w:rsidR="009E3D26" w:rsidRPr="009E3D26" w:rsidRDefault="009E3D26" w:rsidP="0008211D">
      <w:pPr>
        <w:numPr>
          <w:ilvl w:val="0"/>
          <w:numId w:val="65"/>
        </w:numPr>
        <w:spacing w:line="276" w:lineRule="auto"/>
        <w:rPr>
          <w:sz w:val="22"/>
          <w:szCs w:val="22"/>
          <w:shd w:val="clear" w:color="auto" w:fill="FFFFFF"/>
        </w:rPr>
      </w:pPr>
      <w:r w:rsidRPr="009E3D26">
        <w:rPr>
          <w:sz w:val="22"/>
          <w:szCs w:val="22"/>
          <w:shd w:val="clear" w:color="auto" w:fill="FFFFFF"/>
        </w:rPr>
        <w:t>Stakeholders Speak: GYEITI and GMSA Explore Extractive Sector Transparency</w:t>
      </w:r>
    </w:p>
    <w:p w14:paraId="5CD2CB78" w14:textId="77777777" w:rsidR="009E3D26" w:rsidRPr="009E3D26" w:rsidRDefault="009E3D26" w:rsidP="0008211D">
      <w:pPr>
        <w:numPr>
          <w:ilvl w:val="0"/>
          <w:numId w:val="65"/>
        </w:numPr>
        <w:spacing w:line="276" w:lineRule="auto"/>
        <w:rPr>
          <w:sz w:val="22"/>
          <w:szCs w:val="22"/>
          <w:shd w:val="clear" w:color="auto" w:fill="FFFFFF"/>
        </w:rPr>
      </w:pPr>
      <w:r w:rsidRPr="009E3D26">
        <w:rPr>
          <w:sz w:val="22"/>
          <w:szCs w:val="22"/>
          <w:shd w:val="clear" w:color="auto" w:fill="FFFFFF"/>
        </w:rPr>
        <w:t>Tomorrow’s Transparency Champions: EITI Clubs Kick Off in Schools</w:t>
      </w:r>
    </w:p>
    <w:p w14:paraId="1DD491AA" w14:textId="77777777" w:rsidR="009E3D26" w:rsidRPr="009E3D26" w:rsidRDefault="009E3D26" w:rsidP="0008211D">
      <w:pPr>
        <w:numPr>
          <w:ilvl w:val="0"/>
          <w:numId w:val="65"/>
        </w:numPr>
        <w:spacing w:line="276" w:lineRule="auto"/>
        <w:rPr>
          <w:sz w:val="22"/>
          <w:szCs w:val="22"/>
          <w:shd w:val="clear" w:color="auto" w:fill="FFFFFF"/>
        </w:rPr>
      </w:pPr>
      <w:r w:rsidRPr="009E3D26">
        <w:rPr>
          <w:sz w:val="22"/>
          <w:szCs w:val="22"/>
          <w:shd w:val="clear" w:color="auto" w:fill="FFFFFF"/>
        </w:rPr>
        <w:t>Promoting Community Consent and Accountability: GYEITI Meets Ministry of Amerindian Affairs</w:t>
      </w:r>
    </w:p>
    <w:p w14:paraId="1DB6414B" w14:textId="6FEF9A11" w:rsidR="001F4577" w:rsidRPr="000D7A87" w:rsidRDefault="009E3D26" w:rsidP="0008211D">
      <w:pPr>
        <w:numPr>
          <w:ilvl w:val="0"/>
          <w:numId w:val="65"/>
        </w:numPr>
        <w:spacing w:line="276" w:lineRule="auto"/>
        <w:rPr>
          <w:sz w:val="22"/>
          <w:szCs w:val="22"/>
          <w:shd w:val="clear" w:color="auto" w:fill="FFFFFF"/>
        </w:rPr>
      </w:pPr>
      <w:proofErr w:type="spellStart"/>
      <w:r w:rsidRPr="009E3D26">
        <w:rPr>
          <w:sz w:val="22"/>
          <w:szCs w:val="22"/>
          <w:shd w:val="clear" w:color="auto" w:fill="FFFFFF"/>
        </w:rPr>
        <w:t>Merundoi</w:t>
      </w:r>
      <w:proofErr w:type="spellEnd"/>
      <w:r w:rsidRPr="009E3D26">
        <w:rPr>
          <w:sz w:val="22"/>
          <w:szCs w:val="22"/>
          <w:shd w:val="clear" w:color="auto" w:fill="FFFFFF"/>
        </w:rPr>
        <w:t xml:space="preserve"> Tackles Extractive Sector Transparency in New Storylines</w:t>
      </w:r>
    </w:p>
    <w:p w14:paraId="552F7FA4" w14:textId="77777777" w:rsidR="009A6792" w:rsidRPr="009A6792" w:rsidRDefault="009A6792" w:rsidP="000D7A87">
      <w:pPr>
        <w:pStyle w:val="APR"/>
      </w:pPr>
      <w:bookmarkStart w:id="25" w:name="_Toc225776200"/>
      <w:r w:rsidRPr="009A6792">
        <w:t>4. Beneficial Ownership (BO)</w:t>
      </w:r>
      <w:bookmarkEnd w:id="25"/>
    </w:p>
    <w:p w14:paraId="1861CFF2" w14:textId="77777777" w:rsidR="0040328B" w:rsidRDefault="0040328B" w:rsidP="00EB4F13">
      <w:pPr>
        <w:spacing w:line="278" w:lineRule="auto"/>
        <w:rPr>
          <w:sz w:val="22"/>
          <w:szCs w:val="22"/>
          <w:shd w:val="clear" w:color="auto" w:fill="FFFFFF"/>
        </w:rPr>
      </w:pPr>
      <w:r w:rsidRPr="0040328B">
        <w:rPr>
          <w:sz w:val="22"/>
          <w:szCs w:val="22"/>
          <w:shd w:val="clear" w:color="auto" w:fill="FFFFFF"/>
        </w:rPr>
        <w:t>The Multi-Stakeholder Group (MSG) approved a Beneficial Ownership (BO) Roadmap in July 2018 to ensure compliance with EITI Requirement 2.5. Initial procurement efforts under the original Terms of Reference (TOR) were annulled, as no bids met the required standards.</w:t>
      </w:r>
    </w:p>
    <w:p w14:paraId="52618F81" w14:textId="77777777" w:rsidR="00843915" w:rsidRDefault="00843915" w:rsidP="00EB4F13">
      <w:pPr>
        <w:spacing w:line="278" w:lineRule="auto"/>
        <w:rPr>
          <w:sz w:val="22"/>
          <w:szCs w:val="22"/>
          <w:shd w:val="clear" w:color="auto" w:fill="FFFFFF"/>
        </w:rPr>
      </w:pPr>
    </w:p>
    <w:p w14:paraId="3CD6C92D" w14:textId="24B86E06" w:rsidR="009A6792" w:rsidRPr="009A6792" w:rsidRDefault="009A6792" w:rsidP="00EB4F13">
      <w:pPr>
        <w:spacing w:line="278" w:lineRule="auto"/>
        <w:rPr>
          <w:b/>
          <w:bCs/>
          <w:sz w:val="22"/>
          <w:szCs w:val="22"/>
          <w:shd w:val="clear" w:color="auto" w:fill="FFFFFF"/>
        </w:rPr>
      </w:pPr>
      <w:r w:rsidRPr="009A6792">
        <w:rPr>
          <w:b/>
          <w:bCs/>
          <w:sz w:val="22"/>
          <w:szCs w:val="22"/>
          <w:shd w:val="clear" w:color="auto" w:fill="FFFFFF"/>
        </w:rPr>
        <w:t>Work Initiated in 2024</w:t>
      </w:r>
      <w:r w:rsidR="00EB4F13">
        <w:rPr>
          <w:b/>
          <w:bCs/>
          <w:sz w:val="22"/>
          <w:szCs w:val="22"/>
          <w:shd w:val="clear" w:color="auto" w:fill="FFFFFF"/>
        </w:rPr>
        <w:t>:</w:t>
      </w:r>
    </w:p>
    <w:p w14:paraId="417B156C" w14:textId="77777777" w:rsidR="00843915" w:rsidRPr="00843915" w:rsidRDefault="00843915" w:rsidP="00843915">
      <w:pPr>
        <w:spacing w:line="278" w:lineRule="auto"/>
        <w:rPr>
          <w:sz w:val="22"/>
          <w:szCs w:val="22"/>
          <w:shd w:val="clear" w:color="auto" w:fill="FFFFFF"/>
        </w:rPr>
      </w:pPr>
      <w:r w:rsidRPr="00843915">
        <w:rPr>
          <w:sz w:val="22"/>
          <w:szCs w:val="22"/>
          <w:shd w:val="clear" w:color="auto" w:fill="FFFFFF"/>
        </w:rPr>
        <w:t>In late 2023, the MSG revised and approved an updated TOR to address the shortcomings of the previous tender. A consultancy was awarded in early 2024 to a team comprising Diane Barker, Michael Barron, and Tim Law. The consultants:</w:t>
      </w:r>
    </w:p>
    <w:p w14:paraId="29F1B3E4" w14:textId="77777777" w:rsidR="00843915" w:rsidRPr="00843915" w:rsidRDefault="00843915" w:rsidP="00843915">
      <w:pPr>
        <w:numPr>
          <w:ilvl w:val="0"/>
          <w:numId w:val="109"/>
        </w:numPr>
        <w:spacing w:line="278" w:lineRule="auto"/>
        <w:rPr>
          <w:sz w:val="22"/>
          <w:szCs w:val="22"/>
          <w:shd w:val="clear" w:color="auto" w:fill="FFFFFF"/>
        </w:rPr>
      </w:pPr>
      <w:r w:rsidRPr="00843915">
        <w:rPr>
          <w:sz w:val="22"/>
          <w:szCs w:val="22"/>
          <w:shd w:val="clear" w:color="auto" w:fill="FFFFFF"/>
        </w:rPr>
        <w:t>Engaged stakeholders across Government, Industry, and Civil Society;</w:t>
      </w:r>
    </w:p>
    <w:p w14:paraId="388EFBA2" w14:textId="77777777" w:rsidR="00843915" w:rsidRPr="00843915" w:rsidRDefault="00843915" w:rsidP="00843915">
      <w:pPr>
        <w:numPr>
          <w:ilvl w:val="0"/>
          <w:numId w:val="109"/>
        </w:numPr>
        <w:spacing w:line="278" w:lineRule="auto"/>
        <w:rPr>
          <w:sz w:val="22"/>
          <w:szCs w:val="22"/>
          <w:shd w:val="clear" w:color="auto" w:fill="FFFFFF"/>
        </w:rPr>
      </w:pPr>
      <w:r w:rsidRPr="00843915">
        <w:rPr>
          <w:sz w:val="22"/>
          <w:szCs w:val="22"/>
          <w:shd w:val="clear" w:color="auto" w:fill="FFFFFF"/>
        </w:rPr>
        <w:t>Worked closely with the Secretariat and the Ministry of Natural Resources;</w:t>
      </w:r>
    </w:p>
    <w:p w14:paraId="60584C78" w14:textId="77777777" w:rsidR="00843915" w:rsidRPr="00843915" w:rsidRDefault="00843915" w:rsidP="00843915">
      <w:pPr>
        <w:numPr>
          <w:ilvl w:val="0"/>
          <w:numId w:val="109"/>
        </w:numPr>
        <w:spacing w:line="278" w:lineRule="auto"/>
        <w:rPr>
          <w:sz w:val="22"/>
          <w:szCs w:val="22"/>
          <w:shd w:val="clear" w:color="auto" w:fill="FFFFFF"/>
        </w:rPr>
      </w:pPr>
      <w:r w:rsidRPr="00843915">
        <w:rPr>
          <w:sz w:val="22"/>
          <w:szCs w:val="22"/>
          <w:shd w:val="clear" w:color="auto" w:fill="FFFFFF"/>
        </w:rPr>
        <w:t>Prepared a Beneficial Ownership Register, which was published on the GYEITI website and approved by the MSG alongside the final report.</w:t>
      </w:r>
    </w:p>
    <w:p w14:paraId="367A7089" w14:textId="77777777" w:rsidR="00843915" w:rsidRPr="00843915" w:rsidRDefault="00843915" w:rsidP="00843915">
      <w:pPr>
        <w:spacing w:line="278" w:lineRule="auto"/>
        <w:rPr>
          <w:sz w:val="22"/>
          <w:szCs w:val="22"/>
          <w:shd w:val="clear" w:color="auto" w:fill="FFFFFF"/>
        </w:rPr>
      </w:pPr>
      <w:r w:rsidRPr="00843915">
        <w:rPr>
          <w:sz w:val="22"/>
          <w:szCs w:val="22"/>
          <w:shd w:val="clear" w:color="auto" w:fill="FFFFFF"/>
        </w:rPr>
        <w:t>This work laid the foundation for BO implementation activities in 2025.</w:t>
      </w:r>
    </w:p>
    <w:p w14:paraId="2FAF535B" w14:textId="77777777" w:rsidR="00D26122" w:rsidRDefault="00D26122" w:rsidP="004856F8">
      <w:pPr>
        <w:spacing w:line="278" w:lineRule="auto"/>
        <w:rPr>
          <w:b/>
          <w:bCs/>
          <w:sz w:val="22"/>
          <w:szCs w:val="22"/>
          <w:shd w:val="clear" w:color="auto" w:fill="FFFFFF"/>
        </w:rPr>
      </w:pPr>
    </w:p>
    <w:p w14:paraId="6C196858" w14:textId="18E1F637" w:rsidR="009A6792" w:rsidRPr="009A6792" w:rsidRDefault="009A6792" w:rsidP="004856F8">
      <w:pPr>
        <w:spacing w:line="278" w:lineRule="auto"/>
        <w:rPr>
          <w:b/>
          <w:bCs/>
          <w:sz w:val="22"/>
          <w:szCs w:val="22"/>
          <w:shd w:val="clear" w:color="auto" w:fill="FFFFFF"/>
        </w:rPr>
      </w:pPr>
      <w:r w:rsidRPr="009A6792">
        <w:rPr>
          <w:b/>
          <w:bCs/>
          <w:sz w:val="22"/>
          <w:szCs w:val="22"/>
          <w:shd w:val="clear" w:color="auto" w:fill="FFFFFF"/>
        </w:rPr>
        <w:t>Progress and Activities in 2025</w:t>
      </w:r>
      <w:r w:rsidR="004856F8">
        <w:rPr>
          <w:b/>
          <w:bCs/>
          <w:sz w:val="22"/>
          <w:szCs w:val="22"/>
          <w:shd w:val="clear" w:color="auto" w:fill="FFFFFF"/>
        </w:rPr>
        <w:t>:</w:t>
      </w:r>
    </w:p>
    <w:p w14:paraId="25C4EFDB" w14:textId="2A72B402" w:rsidR="009A6792" w:rsidRPr="009A6792" w:rsidRDefault="009A6792" w:rsidP="00096E51">
      <w:pPr>
        <w:spacing w:line="278" w:lineRule="auto"/>
        <w:jc w:val="both"/>
        <w:rPr>
          <w:sz w:val="22"/>
          <w:szCs w:val="22"/>
          <w:shd w:val="clear" w:color="auto" w:fill="FFFFFF"/>
        </w:rPr>
      </w:pPr>
      <w:r w:rsidRPr="009A6792">
        <w:rPr>
          <w:sz w:val="22"/>
          <w:szCs w:val="22"/>
          <w:shd w:val="clear" w:color="auto" w:fill="FFFFFF"/>
        </w:rPr>
        <w:t xml:space="preserve">In 2025, efforts continued to operationalize BO recommendations, focusing on data collection and </w:t>
      </w:r>
      <w:r w:rsidR="001A52CD">
        <w:rPr>
          <w:sz w:val="22"/>
          <w:szCs w:val="22"/>
          <w:shd w:val="clear" w:color="auto" w:fill="FFFFFF"/>
        </w:rPr>
        <w:t>verification</w:t>
      </w:r>
      <w:r w:rsidRPr="009A6792">
        <w:rPr>
          <w:sz w:val="22"/>
          <w:szCs w:val="22"/>
          <w:shd w:val="clear" w:color="auto" w:fill="FFFFFF"/>
        </w:rPr>
        <w:t>:</w:t>
      </w:r>
    </w:p>
    <w:p w14:paraId="0F327004" w14:textId="77777777" w:rsidR="009A6792" w:rsidRPr="009A6792" w:rsidRDefault="009A6792" w:rsidP="00096E51">
      <w:pPr>
        <w:numPr>
          <w:ilvl w:val="0"/>
          <w:numId w:val="78"/>
        </w:numPr>
        <w:spacing w:line="278" w:lineRule="auto"/>
        <w:jc w:val="both"/>
        <w:rPr>
          <w:sz w:val="22"/>
          <w:szCs w:val="22"/>
          <w:shd w:val="clear" w:color="auto" w:fill="FFFFFF"/>
        </w:rPr>
      </w:pPr>
      <w:r w:rsidRPr="009A6792">
        <w:rPr>
          <w:sz w:val="22"/>
          <w:szCs w:val="22"/>
          <w:shd w:val="clear" w:color="auto" w:fill="FFFFFF"/>
        </w:rPr>
        <w:t>The Secretariat received submissions of BO information from companies that were contacted following the 2024 report.</w:t>
      </w:r>
    </w:p>
    <w:p w14:paraId="1CFFF98F" w14:textId="6A4763B8" w:rsidR="009A6792" w:rsidRPr="009A6792" w:rsidRDefault="009A6792" w:rsidP="00096E51">
      <w:pPr>
        <w:numPr>
          <w:ilvl w:val="0"/>
          <w:numId w:val="78"/>
        </w:numPr>
        <w:spacing w:line="278" w:lineRule="auto"/>
        <w:jc w:val="both"/>
        <w:rPr>
          <w:sz w:val="22"/>
          <w:szCs w:val="22"/>
          <w:shd w:val="clear" w:color="auto" w:fill="FFFFFF"/>
        </w:rPr>
      </w:pPr>
      <w:r w:rsidRPr="009A6792">
        <w:rPr>
          <w:sz w:val="22"/>
          <w:szCs w:val="22"/>
          <w:shd w:val="clear" w:color="auto" w:fill="FFFFFF"/>
        </w:rPr>
        <w:t xml:space="preserve">A comprehensive list of all license holders granted in 2025, including active licenses and applications not granted, was </w:t>
      </w:r>
      <w:r w:rsidR="000A559D">
        <w:rPr>
          <w:sz w:val="22"/>
          <w:szCs w:val="22"/>
          <w:shd w:val="clear" w:color="auto" w:fill="FFFFFF"/>
        </w:rPr>
        <w:t xml:space="preserve">requested </w:t>
      </w:r>
      <w:r w:rsidRPr="009A6792">
        <w:rPr>
          <w:sz w:val="22"/>
          <w:szCs w:val="22"/>
          <w:shd w:val="clear" w:color="auto" w:fill="FFFFFF"/>
        </w:rPr>
        <w:t>from relevant government agencies.</w:t>
      </w:r>
    </w:p>
    <w:p w14:paraId="2315ADF4" w14:textId="504DE474" w:rsidR="009A6792" w:rsidRPr="009A6792" w:rsidRDefault="008A00BB" w:rsidP="00096E51">
      <w:pPr>
        <w:numPr>
          <w:ilvl w:val="0"/>
          <w:numId w:val="78"/>
        </w:numPr>
        <w:spacing w:line="278" w:lineRule="auto"/>
        <w:jc w:val="both"/>
        <w:rPr>
          <w:sz w:val="22"/>
          <w:szCs w:val="22"/>
          <w:shd w:val="clear" w:color="auto" w:fill="FFFFFF"/>
        </w:rPr>
      </w:pPr>
      <w:r>
        <w:rPr>
          <w:sz w:val="22"/>
          <w:szCs w:val="22"/>
          <w:shd w:val="clear" w:color="auto" w:fill="FFFFFF"/>
        </w:rPr>
        <w:t>Verification</w:t>
      </w:r>
      <w:r w:rsidR="009A6792" w:rsidRPr="009A6792">
        <w:rPr>
          <w:sz w:val="22"/>
          <w:szCs w:val="22"/>
          <w:shd w:val="clear" w:color="auto" w:fill="FFFFFF"/>
        </w:rPr>
        <w:t xml:space="preserve"> of company contact details commenced to ensure accurate email addresses for BO data requests.</w:t>
      </w:r>
    </w:p>
    <w:p w14:paraId="11BF3CAA" w14:textId="0CCEC7DF" w:rsidR="009A6792" w:rsidRPr="009A6792" w:rsidRDefault="009A6792" w:rsidP="004856F8">
      <w:pPr>
        <w:numPr>
          <w:ilvl w:val="0"/>
          <w:numId w:val="78"/>
        </w:numPr>
        <w:spacing w:line="278" w:lineRule="auto"/>
        <w:rPr>
          <w:sz w:val="22"/>
          <w:szCs w:val="22"/>
          <w:shd w:val="clear" w:color="auto" w:fill="FFFFFF"/>
        </w:rPr>
      </w:pPr>
      <w:r w:rsidRPr="009A6792">
        <w:rPr>
          <w:sz w:val="22"/>
          <w:szCs w:val="22"/>
          <w:shd w:val="clear" w:color="auto" w:fill="FFFFFF"/>
        </w:rPr>
        <w:t xml:space="preserve">The email request for BO data </w:t>
      </w:r>
      <w:r w:rsidR="00DE042F">
        <w:rPr>
          <w:sz w:val="22"/>
          <w:szCs w:val="22"/>
          <w:shd w:val="clear" w:color="auto" w:fill="FFFFFF"/>
        </w:rPr>
        <w:t>was</w:t>
      </w:r>
      <w:r w:rsidRPr="009A6792">
        <w:rPr>
          <w:sz w:val="22"/>
          <w:szCs w:val="22"/>
          <w:shd w:val="clear" w:color="auto" w:fill="FFFFFF"/>
        </w:rPr>
        <w:t xml:space="preserve"> prepared to be sent once </w:t>
      </w:r>
      <w:r w:rsidR="00DE042F">
        <w:rPr>
          <w:sz w:val="22"/>
          <w:szCs w:val="22"/>
          <w:shd w:val="clear" w:color="auto" w:fill="FFFFFF"/>
        </w:rPr>
        <w:t>verification</w:t>
      </w:r>
      <w:r w:rsidRPr="009A6792">
        <w:rPr>
          <w:sz w:val="22"/>
          <w:szCs w:val="22"/>
          <w:shd w:val="clear" w:color="auto" w:fill="FFFFFF"/>
        </w:rPr>
        <w:t xml:space="preserve"> </w:t>
      </w:r>
      <w:r w:rsidR="00DE042F">
        <w:rPr>
          <w:sz w:val="22"/>
          <w:szCs w:val="22"/>
          <w:shd w:val="clear" w:color="auto" w:fill="FFFFFF"/>
        </w:rPr>
        <w:t>was</w:t>
      </w:r>
      <w:r w:rsidRPr="009A6792">
        <w:rPr>
          <w:sz w:val="22"/>
          <w:szCs w:val="22"/>
          <w:shd w:val="clear" w:color="auto" w:fill="FFFFFF"/>
        </w:rPr>
        <w:t xml:space="preserve"> complete</w:t>
      </w:r>
      <w:r w:rsidR="00DE042F">
        <w:rPr>
          <w:sz w:val="22"/>
          <w:szCs w:val="22"/>
          <w:shd w:val="clear" w:color="auto" w:fill="FFFFFF"/>
        </w:rPr>
        <w:t>d</w:t>
      </w:r>
      <w:r w:rsidRPr="009A6792">
        <w:rPr>
          <w:sz w:val="22"/>
          <w:szCs w:val="22"/>
          <w:shd w:val="clear" w:color="auto" w:fill="FFFFFF"/>
        </w:rPr>
        <w:t>.</w:t>
      </w:r>
    </w:p>
    <w:p w14:paraId="63722155" w14:textId="77777777" w:rsidR="002D24A9" w:rsidRDefault="00983E66" w:rsidP="00983E66">
      <w:pPr>
        <w:spacing w:line="278" w:lineRule="auto"/>
        <w:jc w:val="both"/>
        <w:rPr>
          <w:sz w:val="22"/>
          <w:szCs w:val="22"/>
          <w:shd w:val="clear" w:color="auto" w:fill="FFFFFF"/>
        </w:rPr>
      </w:pPr>
      <w:r w:rsidRPr="00983E66">
        <w:rPr>
          <w:sz w:val="22"/>
          <w:szCs w:val="22"/>
          <w:shd w:val="clear" w:color="auto" w:fill="FFFFFF"/>
        </w:rPr>
        <w:t>However, due to capacity constraints within the Secretariat, including insufficient technical staff, BO data collection and follow-up was temporarily put on hold to prioritize higher-demand tasks, including:</w:t>
      </w:r>
    </w:p>
    <w:p w14:paraId="068FB367" w14:textId="2D885D5A" w:rsidR="009A6792" w:rsidRPr="002D24A9" w:rsidRDefault="00096E51" w:rsidP="002D24A9">
      <w:pPr>
        <w:pStyle w:val="ListParagraph"/>
        <w:numPr>
          <w:ilvl w:val="0"/>
          <w:numId w:val="110"/>
        </w:numPr>
        <w:spacing w:line="278" w:lineRule="auto"/>
        <w:jc w:val="both"/>
        <w:rPr>
          <w:sz w:val="22"/>
          <w:szCs w:val="22"/>
          <w:shd w:val="clear" w:color="auto" w:fill="FFFFFF"/>
        </w:rPr>
      </w:pPr>
      <w:r w:rsidRPr="002D24A9">
        <w:rPr>
          <w:sz w:val="22"/>
          <w:szCs w:val="22"/>
          <w:shd w:val="clear" w:color="auto" w:fill="FFFFFF"/>
        </w:rPr>
        <w:t>C</w:t>
      </w:r>
      <w:r w:rsidR="00E927E9" w:rsidRPr="002D24A9">
        <w:rPr>
          <w:sz w:val="22"/>
          <w:szCs w:val="22"/>
          <w:shd w:val="clear" w:color="auto" w:fill="FFFFFF"/>
        </w:rPr>
        <w:t>ompletion</w:t>
      </w:r>
      <w:r w:rsidR="009A6792" w:rsidRPr="002D24A9">
        <w:rPr>
          <w:sz w:val="22"/>
          <w:szCs w:val="22"/>
          <w:shd w:val="clear" w:color="auto" w:fill="FFFFFF"/>
        </w:rPr>
        <w:t xml:space="preserve"> of validation templates; and</w:t>
      </w:r>
    </w:p>
    <w:p w14:paraId="56ACFDEC" w14:textId="77777777" w:rsidR="00723FF0" w:rsidRPr="00723FF0" w:rsidRDefault="00723FF0" w:rsidP="00723FF0">
      <w:pPr>
        <w:pStyle w:val="ListParagraph"/>
        <w:numPr>
          <w:ilvl w:val="0"/>
          <w:numId w:val="110"/>
        </w:numPr>
        <w:spacing w:line="278" w:lineRule="auto"/>
        <w:rPr>
          <w:sz w:val="22"/>
          <w:szCs w:val="22"/>
          <w:shd w:val="clear" w:color="auto" w:fill="FFFFFF"/>
        </w:rPr>
      </w:pPr>
      <w:r w:rsidRPr="00723FF0">
        <w:rPr>
          <w:sz w:val="22"/>
          <w:szCs w:val="22"/>
          <w:shd w:val="clear" w:color="auto" w:fill="FFFFFF"/>
        </w:rPr>
        <w:t>Support for the Independent Administrator’s FY 2023 report.</w:t>
      </w:r>
    </w:p>
    <w:p w14:paraId="6B5A1447" w14:textId="23823EB9" w:rsidR="009A6792" w:rsidRPr="009A6792" w:rsidRDefault="00096E51" w:rsidP="004856F8">
      <w:pPr>
        <w:spacing w:line="278" w:lineRule="auto"/>
        <w:rPr>
          <w:b/>
          <w:bCs/>
          <w:sz w:val="22"/>
          <w:szCs w:val="22"/>
          <w:shd w:val="clear" w:color="auto" w:fill="FFFFFF"/>
        </w:rPr>
      </w:pPr>
      <w:r w:rsidRPr="009A6792">
        <w:rPr>
          <w:b/>
          <w:bCs/>
          <w:sz w:val="22"/>
          <w:szCs w:val="22"/>
          <w:shd w:val="clear" w:color="auto" w:fill="FFFFFF"/>
        </w:rPr>
        <w:lastRenderedPageBreak/>
        <w:t>Keynote</w:t>
      </w:r>
    </w:p>
    <w:p w14:paraId="15AD759E" w14:textId="1E377C3A" w:rsidR="009B10A8" w:rsidRPr="009B10A8" w:rsidRDefault="009A6792" w:rsidP="009B10A8">
      <w:pPr>
        <w:spacing w:line="278" w:lineRule="auto"/>
        <w:jc w:val="both"/>
        <w:rPr>
          <w:sz w:val="22"/>
          <w:szCs w:val="22"/>
          <w:shd w:val="clear" w:color="auto" w:fill="FFFFFF"/>
        </w:rPr>
      </w:pPr>
      <w:r w:rsidRPr="009A6792">
        <w:rPr>
          <w:sz w:val="22"/>
          <w:szCs w:val="22"/>
          <w:shd w:val="clear" w:color="auto" w:fill="FFFFFF"/>
        </w:rPr>
        <w:t>Implementation of the BO recommendations remains essential for compliance with the 2023 EITI Standard, and the preparatory steps in 2025 ensured that the Secretariat was ready to resume BO data collection once resources were available.</w:t>
      </w:r>
    </w:p>
    <w:p w14:paraId="50DE97E0" w14:textId="77777777" w:rsidR="00ED71DF" w:rsidRPr="0049524C" w:rsidRDefault="00ED71DF" w:rsidP="000D7A87">
      <w:pPr>
        <w:pStyle w:val="APR"/>
      </w:pPr>
      <w:bookmarkStart w:id="26" w:name="_Toc225776201"/>
      <w:r w:rsidRPr="0049524C">
        <w:t>5. Systematic Disclosure / Mainstreaming</w:t>
      </w:r>
      <w:bookmarkEnd w:id="26"/>
    </w:p>
    <w:p w14:paraId="06755F2B" w14:textId="77777777" w:rsidR="00ED71DF" w:rsidRPr="00ED71DF" w:rsidRDefault="00ED71DF" w:rsidP="00424873">
      <w:pPr>
        <w:jc w:val="both"/>
        <w:rPr>
          <w:sz w:val="22"/>
          <w:szCs w:val="22"/>
        </w:rPr>
      </w:pPr>
      <w:r w:rsidRPr="00ED71DF">
        <w:rPr>
          <w:sz w:val="22"/>
          <w:szCs w:val="22"/>
        </w:rPr>
        <w:t>The MSG approved the Terms of Reference for a World Bank–supported Feasibility Study on mainstreaming EITI disclosures. The study was completed in May 2024.</w:t>
      </w:r>
    </w:p>
    <w:p w14:paraId="5FD0B296" w14:textId="77777777" w:rsidR="00ED71DF" w:rsidRPr="0049524C" w:rsidRDefault="00ED71DF" w:rsidP="0049524C">
      <w:pPr>
        <w:rPr>
          <w:b/>
          <w:bCs/>
          <w:sz w:val="22"/>
          <w:szCs w:val="22"/>
        </w:rPr>
      </w:pPr>
      <w:r w:rsidRPr="0049524C">
        <w:rPr>
          <w:b/>
          <w:bCs/>
          <w:sz w:val="22"/>
          <w:szCs w:val="22"/>
        </w:rPr>
        <w:t>Implementation Support in 2025</w:t>
      </w:r>
    </w:p>
    <w:p w14:paraId="646006A5" w14:textId="77777777" w:rsidR="00ED71DF" w:rsidRPr="00ED71DF" w:rsidRDefault="00ED71DF" w:rsidP="00424873">
      <w:pPr>
        <w:jc w:val="both"/>
        <w:rPr>
          <w:sz w:val="22"/>
          <w:szCs w:val="22"/>
        </w:rPr>
      </w:pPr>
      <w:r w:rsidRPr="00ED71DF">
        <w:rPr>
          <w:sz w:val="22"/>
          <w:szCs w:val="22"/>
        </w:rPr>
        <w:t>In 2025, with continued support from World Bank consultant Mr. Sam Tokpah, the Secretariat advanced the implementation phase of the study’s recommendations through engagement with state entities, including:</w:t>
      </w:r>
    </w:p>
    <w:p w14:paraId="52EBE632" w14:textId="77777777" w:rsidR="00ED71DF" w:rsidRPr="00ED71DF" w:rsidRDefault="00ED71DF" w:rsidP="00424873">
      <w:pPr>
        <w:numPr>
          <w:ilvl w:val="0"/>
          <w:numId w:val="69"/>
        </w:numPr>
        <w:jc w:val="both"/>
        <w:rPr>
          <w:sz w:val="22"/>
          <w:szCs w:val="22"/>
        </w:rPr>
      </w:pPr>
      <w:r w:rsidRPr="00ED71DF">
        <w:rPr>
          <w:sz w:val="22"/>
          <w:szCs w:val="22"/>
        </w:rPr>
        <w:t>Guyana Geology and Mines Commission (GGMC)</w:t>
      </w:r>
    </w:p>
    <w:p w14:paraId="3EEAE87A" w14:textId="77777777" w:rsidR="00ED71DF" w:rsidRPr="00ED71DF" w:rsidRDefault="00ED71DF" w:rsidP="00424873">
      <w:pPr>
        <w:numPr>
          <w:ilvl w:val="0"/>
          <w:numId w:val="69"/>
        </w:numPr>
        <w:jc w:val="both"/>
        <w:rPr>
          <w:sz w:val="22"/>
          <w:szCs w:val="22"/>
        </w:rPr>
      </w:pPr>
      <w:r w:rsidRPr="00ED71DF">
        <w:rPr>
          <w:sz w:val="22"/>
          <w:szCs w:val="22"/>
        </w:rPr>
        <w:t>Guyana Gold Board (GGB)</w:t>
      </w:r>
    </w:p>
    <w:p w14:paraId="54E561C4" w14:textId="77777777" w:rsidR="00ED71DF" w:rsidRPr="00ED71DF" w:rsidRDefault="00ED71DF" w:rsidP="00424873">
      <w:pPr>
        <w:numPr>
          <w:ilvl w:val="0"/>
          <w:numId w:val="69"/>
        </w:numPr>
        <w:jc w:val="both"/>
        <w:rPr>
          <w:sz w:val="22"/>
          <w:szCs w:val="22"/>
        </w:rPr>
      </w:pPr>
      <w:r w:rsidRPr="00ED71DF">
        <w:rPr>
          <w:sz w:val="22"/>
          <w:szCs w:val="22"/>
        </w:rPr>
        <w:t>Environmental Protection Agency (EPA)</w:t>
      </w:r>
    </w:p>
    <w:p w14:paraId="7EE4870C" w14:textId="77777777" w:rsidR="00ED71DF" w:rsidRPr="00ED71DF" w:rsidRDefault="00ED71DF" w:rsidP="00424873">
      <w:pPr>
        <w:numPr>
          <w:ilvl w:val="0"/>
          <w:numId w:val="69"/>
        </w:numPr>
        <w:jc w:val="both"/>
        <w:rPr>
          <w:sz w:val="22"/>
          <w:szCs w:val="22"/>
        </w:rPr>
      </w:pPr>
      <w:r w:rsidRPr="00ED71DF">
        <w:rPr>
          <w:sz w:val="22"/>
          <w:szCs w:val="22"/>
        </w:rPr>
        <w:t>Petroleum Directorate</w:t>
      </w:r>
    </w:p>
    <w:p w14:paraId="201DD850" w14:textId="77777777" w:rsidR="00ED71DF" w:rsidRPr="00ED71DF" w:rsidRDefault="00ED71DF" w:rsidP="00424873">
      <w:pPr>
        <w:jc w:val="both"/>
        <w:rPr>
          <w:sz w:val="22"/>
          <w:szCs w:val="22"/>
        </w:rPr>
      </w:pPr>
      <w:r w:rsidRPr="00ED71DF">
        <w:rPr>
          <w:b/>
          <w:bCs/>
          <w:sz w:val="22"/>
          <w:szCs w:val="22"/>
        </w:rPr>
        <w:t>Key Outcomes in 2025:</w:t>
      </w:r>
    </w:p>
    <w:p w14:paraId="34003FC4" w14:textId="77777777" w:rsidR="00ED71DF" w:rsidRPr="00ED71DF" w:rsidRDefault="00ED71DF" w:rsidP="00424873">
      <w:pPr>
        <w:numPr>
          <w:ilvl w:val="0"/>
          <w:numId w:val="70"/>
        </w:numPr>
        <w:jc w:val="both"/>
        <w:rPr>
          <w:sz w:val="22"/>
          <w:szCs w:val="22"/>
        </w:rPr>
      </w:pPr>
      <w:r w:rsidRPr="00ED71DF">
        <w:rPr>
          <w:b/>
          <w:bCs/>
          <w:sz w:val="22"/>
          <w:szCs w:val="22"/>
        </w:rPr>
        <w:t>GGB</w:t>
      </w:r>
      <w:r w:rsidRPr="00ED71DF">
        <w:rPr>
          <w:sz w:val="22"/>
          <w:szCs w:val="22"/>
        </w:rPr>
        <w:t>: Launch of new website; routine publication of payment information; dedicated EITI/GYEITI page; publication of legal and fiscal framework.</w:t>
      </w:r>
    </w:p>
    <w:p w14:paraId="089B1FB8" w14:textId="77777777" w:rsidR="00ED71DF" w:rsidRPr="00ED71DF" w:rsidRDefault="00ED71DF" w:rsidP="00424873">
      <w:pPr>
        <w:numPr>
          <w:ilvl w:val="0"/>
          <w:numId w:val="70"/>
        </w:numPr>
        <w:jc w:val="both"/>
        <w:rPr>
          <w:sz w:val="22"/>
          <w:szCs w:val="22"/>
        </w:rPr>
      </w:pPr>
      <w:r w:rsidRPr="00ED71DF">
        <w:rPr>
          <w:b/>
          <w:bCs/>
          <w:sz w:val="22"/>
          <w:szCs w:val="22"/>
        </w:rPr>
        <w:t>GGMC</w:t>
      </w:r>
      <w:r w:rsidRPr="00ED71DF">
        <w:rPr>
          <w:sz w:val="22"/>
          <w:szCs w:val="22"/>
        </w:rPr>
        <w:t>: Website upgrades; dedicated EITI page; improved access to licensing and cadastral information; publication of legislative framework.</w:t>
      </w:r>
    </w:p>
    <w:p w14:paraId="421C7D55" w14:textId="77777777" w:rsidR="00ED71DF" w:rsidRPr="00ED71DF" w:rsidRDefault="00ED71DF" w:rsidP="00424873">
      <w:pPr>
        <w:numPr>
          <w:ilvl w:val="0"/>
          <w:numId w:val="70"/>
        </w:numPr>
        <w:jc w:val="both"/>
        <w:rPr>
          <w:sz w:val="22"/>
          <w:szCs w:val="22"/>
        </w:rPr>
      </w:pPr>
      <w:r w:rsidRPr="00ED71DF">
        <w:rPr>
          <w:b/>
          <w:bCs/>
          <w:sz w:val="22"/>
          <w:szCs w:val="22"/>
        </w:rPr>
        <w:t>Petroleum Directorate</w:t>
      </w:r>
      <w:r w:rsidRPr="00ED71DF">
        <w:rPr>
          <w:sz w:val="22"/>
          <w:szCs w:val="22"/>
        </w:rPr>
        <w:t>: Upload of missing petroleum contracts (e.g., Canje Block).</w:t>
      </w:r>
    </w:p>
    <w:p w14:paraId="5A00F527" w14:textId="18E2BE5F" w:rsidR="00ED71DF" w:rsidRPr="00ED71DF" w:rsidRDefault="00ED71DF" w:rsidP="00424873">
      <w:pPr>
        <w:numPr>
          <w:ilvl w:val="0"/>
          <w:numId w:val="70"/>
        </w:numPr>
        <w:jc w:val="both"/>
        <w:rPr>
          <w:sz w:val="22"/>
          <w:szCs w:val="22"/>
        </w:rPr>
      </w:pPr>
      <w:r w:rsidRPr="00ED71DF">
        <w:rPr>
          <w:b/>
          <w:bCs/>
          <w:sz w:val="22"/>
          <w:szCs w:val="22"/>
        </w:rPr>
        <w:t>EPA</w:t>
      </w:r>
      <w:r w:rsidRPr="00ED71DF">
        <w:rPr>
          <w:sz w:val="22"/>
          <w:szCs w:val="22"/>
        </w:rPr>
        <w:t>: Publication of payment information and active environmental permits</w:t>
      </w:r>
      <w:r w:rsidR="00887530">
        <w:rPr>
          <w:sz w:val="22"/>
          <w:szCs w:val="22"/>
        </w:rPr>
        <w:t xml:space="preserve"> and </w:t>
      </w:r>
      <w:r w:rsidR="009B10A8">
        <w:rPr>
          <w:sz w:val="22"/>
          <w:szCs w:val="22"/>
        </w:rPr>
        <w:t>EIAs</w:t>
      </w:r>
      <w:r w:rsidRPr="00ED71DF">
        <w:rPr>
          <w:sz w:val="22"/>
          <w:szCs w:val="22"/>
        </w:rPr>
        <w:t>.</w:t>
      </w:r>
    </w:p>
    <w:p w14:paraId="62E7D9C2" w14:textId="46EDFA95" w:rsidR="00ED71DF" w:rsidRPr="000D7A87" w:rsidRDefault="00ED71DF" w:rsidP="000D7A87">
      <w:pPr>
        <w:jc w:val="both"/>
        <w:rPr>
          <w:sz w:val="22"/>
          <w:szCs w:val="22"/>
        </w:rPr>
      </w:pPr>
      <w:r w:rsidRPr="00ED71DF">
        <w:rPr>
          <w:sz w:val="22"/>
          <w:szCs w:val="22"/>
        </w:rPr>
        <w:t>These efforts strengthened systematic disclosure practices, although full mainstreaming remains ongoing.</w:t>
      </w:r>
    </w:p>
    <w:p w14:paraId="0FAD9FF8" w14:textId="77777777" w:rsidR="00183F77" w:rsidRPr="00183F77" w:rsidRDefault="00183F77" w:rsidP="000D7A87">
      <w:pPr>
        <w:pStyle w:val="APR"/>
      </w:pPr>
      <w:bookmarkStart w:id="27" w:name="_Toc225776202"/>
      <w:r w:rsidRPr="00183F77">
        <w:t>6. Data Analysis and Open Data</w:t>
      </w:r>
      <w:bookmarkEnd w:id="27"/>
    </w:p>
    <w:p w14:paraId="12DE93E9" w14:textId="7FA5EB17" w:rsidR="00183F77" w:rsidRPr="00183F77" w:rsidRDefault="00183F77" w:rsidP="00183F77">
      <w:pPr>
        <w:jc w:val="both"/>
        <w:rPr>
          <w:sz w:val="22"/>
          <w:szCs w:val="22"/>
        </w:rPr>
      </w:pPr>
      <w:r w:rsidRPr="00183F77">
        <w:rPr>
          <w:sz w:val="22"/>
          <w:szCs w:val="22"/>
        </w:rPr>
        <w:t xml:space="preserve">To improve accessibility and public understanding of extractive sector information, the GYEITI Secretariat published </w:t>
      </w:r>
      <w:hyperlink r:id="rId22" w:history="1">
        <w:r w:rsidRPr="00183F77">
          <w:rPr>
            <w:rStyle w:val="Hyperlink"/>
            <w:sz w:val="22"/>
            <w:szCs w:val="22"/>
          </w:rPr>
          <w:t>Data Dissemination Bulletin #2</w:t>
        </w:r>
      </w:hyperlink>
      <w:r w:rsidRPr="00183F77">
        <w:rPr>
          <w:sz w:val="22"/>
          <w:szCs w:val="22"/>
        </w:rPr>
        <w:t>, focusing on revenue data for Fiscal Years 2021 and 2022. This bulletin provides stakeholders and the public with a clear and accessible overview of the extractive sector’s contributions to Guyana’s economy, including:</w:t>
      </w:r>
    </w:p>
    <w:p w14:paraId="7FDD0890" w14:textId="77777777" w:rsidR="00183F77" w:rsidRPr="00183F77" w:rsidRDefault="00183F77" w:rsidP="00183F77">
      <w:pPr>
        <w:numPr>
          <w:ilvl w:val="0"/>
          <w:numId w:val="80"/>
        </w:numPr>
        <w:jc w:val="both"/>
        <w:rPr>
          <w:sz w:val="22"/>
          <w:szCs w:val="22"/>
        </w:rPr>
      </w:pPr>
      <w:r w:rsidRPr="00183F77">
        <w:rPr>
          <w:sz w:val="22"/>
          <w:szCs w:val="22"/>
        </w:rPr>
        <w:t>Contributions to GDP (FY 2021 vs FY 2022)</w:t>
      </w:r>
    </w:p>
    <w:p w14:paraId="5D9E81FC" w14:textId="77777777" w:rsidR="00183F77" w:rsidRPr="00183F77" w:rsidRDefault="00183F77" w:rsidP="00183F77">
      <w:pPr>
        <w:numPr>
          <w:ilvl w:val="0"/>
          <w:numId w:val="80"/>
        </w:numPr>
        <w:jc w:val="both"/>
        <w:rPr>
          <w:sz w:val="22"/>
          <w:szCs w:val="22"/>
        </w:rPr>
      </w:pPr>
      <w:r w:rsidRPr="00183F77">
        <w:rPr>
          <w:sz w:val="22"/>
          <w:szCs w:val="22"/>
        </w:rPr>
        <w:t>Contributions to Government revenues (FY 2021 vs FY 2022)</w:t>
      </w:r>
    </w:p>
    <w:p w14:paraId="24ED7C30" w14:textId="77777777" w:rsidR="00183F77" w:rsidRPr="00183F77" w:rsidRDefault="00183F77" w:rsidP="00183F77">
      <w:pPr>
        <w:numPr>
          <w:ilvl w:val="0"/>
          <w:numId w:val="80"/>
        </w:numPr>
        <w:jc w:val="both"/>
        <w:rPr>
          <w:sz w:val="22"/>
          <w:szCs w:val="22"/>
        </w:rPr>
      </w:pPr>
      <w:r w:rsidRPr="00183F77">
        <w:rPr>
          <w:sz w:val="22"/>
          <w:szCs w:val="22"/>
        </w:rPr>
        <w:t>Contributions to exports (FY 2021 vs FY 2022)</w:t>
      </w:r>
    </w:p>
    <w:p w14:paraId="45C1F688" w14:textId="77777777" w:rsidR="00183F77" w:rsidRPr="00183F77" w:rsidRDefault="00183F77" w:rsidP="00183F77">
      <w:pPr>
        <w:numPr>
          <w:ilvl w:val="0"/>
          <w:numId w:val="80"/>
        </w:numPr>
        <w:jc w:val="both"/>
        <w:rPr>
          <w:sz w:val="22"/>
          <w:szCs w:val="22"/>
        </w:rPr>
      </w:pPr>
      <w:r w:rsidRPr="00183F77">
        <w:rPr>
          <w:sz w:val="22"/>
          <w:szCs w:val="22"/>
        </w:rPr>
        <w:t>Summary of overall sector contributions to the economy</w:t>
      </w:r>
    </w:p>
    <w:p w14:paraId="3D1BA8FB" w14:textId="77777777" w:rsidR="00183F77" w:rsidRPr="00183F77" w:rsidRDefault="00183F77" w:rsidP="00183F77">
      <w:pPr>
        <w:jc w:val="both"/>
        <w:rPr>
          <w:sz w:val="22"/>
          <w:szCs w:val="22"/>
        </w:rPr>
      </w:pPr>
      <w:r w:rsidRPr="00183F77">
        <w:rPr>
          <w:sz w:val="22"/>
          <w:szCs w:val="22"/>
        </w:rPr>
        <w:t xml:space="preserve">As part of this initiative, GYEITI also released an </w:t>
      </w:r>
      <w:r w:rsidRPr="00125FC4">
        <w:rPr>
          <w:b/>
          <w:bCs/>
          <w:sz w:val="22"/>
          <w:szCs w:val="22"/>
        </w:rPr>
        <w:t>Excel dataset</w:t>
      </w:r>
      <w:r w:rsidRPr="00183F77">
        <w:rPr>
          <w:sz w:val="22"/>
          <w:szCs w:val="22"/>
        </w:rPr>
        <w:t xml:space="preserve"> containing revenue and expenditure data from all previous EITI reports in open data format, allowing the public to perform their own analysis and explore trends over time.</w:t>
      </w:r>
    </w:p>
    <w:p w14:paraId="191B5019" w14:textId="13322C3C" w:rsidR="00ED71DF" w:rsidRPr="000D7A87" w:rsidRDefault="00183F77" w:rsidP="000D7A87">
      <w:pPr>
        <w:jc w:val="both"/>
        <w:rPr>
          <w:sz w:val="22"/>
          <w:szCs w:val="22"/>
        </w:rPr>
      </w:pPr>
      <w:r w:rsidRPr="00183F77">
        <w:rPr>
          <w:sz w:val="22"/>
          <w:szCs w:val="22"/>
        </w:rPr>
        <w:t>The bulletin and accompanying dataset are part of GYEITI’s ongoing efforts to promote transparency, accountability, and informed public debate. Future work will expand the range of data covered and use findings from the FY 2023 EITI Report to disseminate insights to a wider audience, strengthening public understanding of resource governance.</w:t>
      </w:r>
    </w:p>
    <w:p w14:paraId="1892749C" w14:textId="77777777" w:rsidR="00630813" w:rsidRPr="00630813" w:rsidRDefault="00630813" w:rsidP="000D7A87">
      <w:pPr>
        <w:pStyle w:val="APR"/>
      </w:pPr>
      <w:bookmarkStart w:id="28" w:name="_Toc225776203"/>
      <w:r w:rsidRPr="00630813">
        <w:t>7. Website Maintenance and Content Management</w:t>
      </w:r>
      <w:bookmarkEnd w:id="28"/>
    </w:p>
    <w:p w14:paraId="459049E8" w14:textId="6A43121B" w:rsidR="00630813" w:rsidRPr="00630813" w:rsidRDefault="00630813" w:rsidP="00C544EA">
      <w:pPr>
        <w:jc w:val="both"/>
        <w:rPr>
          <w:sz w:val="22"/>
          <w:szCs w:val="22"/>
        </w:rPr>
      </w:pPr>
      <w:r w:rsidRPr="00630813">
        <w:rPr>
          <w:sz w:val="22"/>
          <w:szCs w:val="22"/>
        </w:rPr>
        <w:t>Following the redesign of the GYEITI website in late 2023, the Secretariat continued to update and populate the platform in 2025</w:t>
      </w:r>
      <w:r w:rsidR="00E814B4">
        <w:rPr>
          <w:sz w:val="22"/>
          <w:szCs w:val="22"/>
        </w:rPr>
        <w:t xml:space="preserve"> which saw over </w:t>
      </w:r>
      <w:r w:rsidR="00233E53">
        <w:rPr>
          <w:sz w:val="22"/>
          <w:szCs w:val="22"/>
        </w:rPr>
        <w:t>130,000 page views</w:t>
      </w:r>
      <w:r w:rsidRPr="00630813">
        <w:rPr>
          <w:sz w:val="22"/>
          <w:szCs w:val="22"/>
        </w:rPr>
        <w:t>. Working with IT consultant Mr. Roger Gajraj and the Communications and Outreach Committee, the Secretariat ensured publication of key resources, including:</w:t>
      </w:r>
    </w:p>
    <w:p w14:paraId="4B701CD3" w14:textId="77777777" w:rsidR="00630813" w:rsidRPr="00630813" w:rsidRDefault="00630813" w:rsidP="00630813">
      <w:pPr>
        <w:numPr>
          <w:ilvl w:val="0"/>
          <w:numId w:val="81"/>
        </w:numPr>
        <w:rPr>
          <w:sz w:val="22"/>
          <w:szCs w:val="22"/>
        </w:rPr>
      </w:pPr>
      <w:r w:rsidRPr="00630813">
        <w:rPr>
          <w:sz w:val="22"/>
          <w:szCs w:val="22"/>
        </w:rPr>
        <w:t>Workplans</w:t>
      </w:r>
    </w:p>
    <w:p w14:paraId="270EB8CC" w14:textId="77777777" w:rsidR="00630813" w:rsidRPr="00630813" w:rsidRDefault="00630813" w:rsidP="00630813">
      <w:pPr>
        <w:numPr>
          <w:ilvl w:val="0"/>
          <w:numId w:val="81"/>
        </w:numPr>
        <w:rPr>
          <w:sz w:val="22"/>
          <w:szCs w:val="22"/>
        </w:rPr>
      </w:pPr>
      <w:r w:rsidRPr="00630813">
        <w:rPr>
          <w:sz w:val="22"/>
          <w:szCs w:val="22"/>
        </w:rPr>
        <w:t>Reports</w:t>
      </w:r>
    </w:p>
    <w:p w14:paraId="7AD44465" w14:textId="77777777" w:rsidR="00630813" w:rsidRPr="00630813" w:rsidRDefault="00630813" w:rsidP="00630813">
      <w:pPr>
        <w:numPr>
          <w:ilvl w:val="0"/>
          <w:numId w:val="81"/>
        </w:numPr>
        <w:rPr>
          <w:sz w:val="22"/>
          <w:szCs w:val="22"/>
        </w:rPr>
      </w:pPr>
      <w:r w:rsidRPr="00630813">
        <w:rPr>
          <w:sz w:val="22"/>
          <w:szCs w:val="22"/>
        </w:rPr>
        <w:lastRenderedPageBreak/>
        <w:t>Strategies</w:t>
      </w:r>
    </w:p>
    <w:p w14:paraId="3C50D22C" w14:textId="77777777" w:rsidR="00630813" w:rsidRDefault="00630813" w:rsidP="00630813">
      <w:pPr>
        <w:numPr>
          <w:ilvl w:val="0"/>
          <w:numId w:val="81"/>
        </w:numPr>
        <w:rPr>
          <w:sz w:val="22"/>
          <w:szCs w:val="22"/>
        </w:rPr>
      </w:pPr>
      <w:r w:rsidRPr="00630813">
        <w:rPr>
          <w:sz w:val="22"/>
          <w:szCs w:val="22"/>
        </w:rPr>
        <w:t>Newsletters/News</w:t>
      </w:r>
    </w:p>
    <w:p w14:paraId="08ED0A9C" w14:textId="0C5CF4C9" w:rsidR="00C544EA" w:rsidRPr="00630813" w:rsidRDefault="00C544EA" w:rsidP="00630813">
      <w:pPr>
        <w:numPr>
          <w:ilvl w:val="0"/>
          <w:numId w:val="81"/>
        </w:numPr>
        <w:rPr>
          <w:sz w:val="22"/>
          <w:szCs w:val="22"/>
        </w:rPr>
      </w:pPr>
      <w:r>
        <w:rPr>
          <w:sz w:val="22"/>
          <w:szCs w:val="22"/>
        </w:rPr>
        <w:t>Data Bulletins</w:t>
      </w:r>
    </w:p>
    <w:p w14:paraId="039BC904" w14:textId="77777777" w:rsidR="00630813" w:rsidRPr="00630813" w:rsidRDefault="00630813" w:rsidP="00630813">
      <w:pPr>
        <w:numPr>
          <w:ilvl w:val="0"/>
          <w:numId w:val="81"/>
        </w:numPr>
        <w:rPr>
          <w:sz w:val="22"/>
          <w:szCs w:val="22"/>
        </w:rPr>
      </w:pPr>
      <w:r w:rsidRPr="00630813">
        <w:rPr>
          <w:sz w:val="22"/>
          <w:szCs w:val="22"/>
        </w:rPr>
        <w:t>Policies</w:t>
      </w:r>
    </w:p>
    <w:p w14:paraId="0A7B4891" w14:textId="77777777" w:rsidR="00630813" w:rsidRPr="00630813" w:rsidRDefault="00630813" w:rsidP="000809DC">
      <w:pPr>
        <w:jc w:val="both"/>
        <w:rPr>
          <w:sz w:val="22"/>
          <w:szCs w:val="22"/>
        </w:rPr>
      </w:pPr>
      <w:r w:rsidRPr="00630813">
        <w:rPr>
          <w:sz w:val="22"/>
          <w:szCs w:val="22"/>
        </w:rPr>
        <w:t>The website remains a central platform for transparency and public engagement. However, there is a significant lag in implementing updates, and some documents have been removed without the Secretariat’s knowledge. This highlights the need for dedicated management and oversight to ensure that submissions are properly reflected, outdated information is updated, and improvements are implemented consistently.</w:t>
      </w:r>
    </w:p>
    <w:p w14:paraId="07C7F75E" w14:textId="77777777" w:rsidR="000809DC" w:rsidRDefault="000809DC" w:rsidP="000809DC">
      <w:pPr>
        <w:jc w:val="both"/>
        <w:rPr>
          <w:sz w:val="22"/>
          <w:szCs w:val="22"/>
        </w:rPr>
      </w:pPr>
    </w:p>
    <w:p w14:paraId="6120BD34" w14:textId="7E74B46B" w:rsidR="00ED71DF" w:rsidRPr="000D7A87" w:rsidRDefault="00630813" w:rsidP="00C544EA">
      <w:pPr>
        <w:jc w:val="both"/>
        <w:rPr>
          <w:sz w:val="22"/>
          <w:szCs w:val="22"/>
        </w:rPr>
      </w:pPr>
      <w:r w:rsidRPr="00630813">
        <w:rPr>
          <w:sz w:val="22"/>
          <w:szCs w:val="22"/>
        </w:rPr>
        <w:t xml:space="preserve">Currently, the Secretariat has limited technical staff, and managing the website competes with other pressing tasks. Updates require substantial and sustained oversight, rather than ad hoc efforts, to ensure that the platform accurately reflects </w:t>
      </w:r>
      <w:r w:rsidR="00EB28F7" w:rsidRPr="00630813">
        <w:rPr>
          <w:sz w:val="22"/>
          <w:szCs w:val="22"/>
        </w:rPr>
        <w:t>GYEITI’ s</w:t>
      </w:r>
      <w:r w:rsidRPr="00630813">
        <w:rPr>
          <w:sz w:val="22"/>
          <w:szCs w:val="22"/>
        </w:rPr>
        <w:t xml:space="preserve"> work and remains a reliable resource for stakeholders and the public.</w:t>
      </w:r>
    </w:p>
    <w:p w14:paraId="400760C3" w14:textId="5389C5FF" w:rsidR="00ED71DF" w:rsidRPr="00F56ED3" w:rsidRDefault="00ED71DF" w:rsidP="000D7A87">
      <w:pPr>
        <w:pStyle w:val="APR"/>
      </w:pPr>
      <w:bookmarkStart w:id="29" w:name="_Toc225776204"/>
      <w:r w:rsidRPr="00F56ED3">
        <w:t>8. Outreach and Dissemination (2025)</w:t>
      </w:r>
      <w:bookmarkEnd w:id="29"/>
    </w:p>
    <w:p w14:paraId="0F55B3EE" w14:textId="119F4400" w:rsidR="00ED71DF" w:rsidRPr="00446C99" w:rsidRDefault="00ED71DF" w:rsidP="00E230BD">
      <w:pPr>
        <w:jc w:val="both"/>
        <w:rPr>
          <w:sz w:val="22"/>
          <w:szCs w:val="22"/>
        </w:rPr>
      </w:pPr>
      <w:r w:rsidRPr="00446C99">
        <w:rPr>
          <w:sz w:val="22"/>
          <w:szCs w:val="22"/>
        </w:rPr>
        <w:t xml:space="preserve">In contrast to previous years, 2025 saw a significant increase </w:t>
      </w:r>
      <w:hyperlink r:id="rId23" w:history="1">
        <w:r w:rsidRPr="0035318A">
          <w:rPr>
            <w:rStyle w:val="Hyperlink"/>
            <w:sz w:val="22"/>
            <w:szCs w:val="22"/>
          </w:rPr>
          <w:t>in outreach and public engagement activities</w:t>
        </w:r>
      </w:hyperlink>
      <w:r w:rsidRPr="00446C99">
        <w:rPr>
          <w:sz w:val="22"/>
          <w:szCs w:val="22"/>
        </w:rPr>
        <w:t>.</w:t>
      </w:r>
      <w:r w:rsidR="00E230BD">
        <w:rPr>
          <w:sz w:val="22"/>
          <w:szCs w:val="22"/>
        </w:rPr>
        <w:t xml:space="preserve"> </w:t>
      </w:r>
      <w:r w:rsidRPr="00446C99">
        <w:rPr>
          <w:sz w:val="22"/>
          <w:szCs w:val="22"/>
        </w:rPr>
        <w:t>Activities completed in accordance with EITI Requirement 7.1 included:</w:t>
      </w:r>
    </w:p>
    <w:p w14:paraId="65E46BD4" w14:textId="77777777" w:rsidR="00ED71DF" w:rsidRPr="00446C99" w:rsidRDefault="00ED71DF" w:rsidP="00446C99">
      <w:pPr>
        <w:numPr>
          <w:ilvl w:val="0"/>
          <w:numId w:val="73"/>
        </w:numPr>
        <w:rPr>
          <w:sz w:val="22"/>
          <w:szCs w:val="22"/>
        </w:rPr>
      </w:pPr>
      <w:proofErr w:type="spellStart"/>
      <w:r w:rsidRPr="00446C99">
        <w:rPr>
          <w:sz w:val="22"/>
          <w:szCs w:val="22"/>
        </w:rPr>
        <w:t>Merundoi</w:t>
      </w:r>
      <w:proofErr w:type="spellEnd"/>
      <w:r w:rsidRPr="00446C99">
        <w:rPr>
          <w:sz w:val="22"/>
          <w:szCs w:val="22"/>
        </w:rPr>
        <w:t xml:space="preserve"> Radio Serial Drama</w:t>
      </w:r>
    </w:p>
    <w:p w14:paraId="070990F7" w14:textId="77777777" w:rsidR="00ED71DF" w:rsidRPr="00446C99" w:rsidRDefault="00ED71DF" w:rsidP="00446C99">
      <w:pPr>
        <w:numPr>
          <w:ilvl w:val="0"/>
          <w:numId w:val="73"/>
        </w:numPr>
        <w:rPr>
          <w:sz w:val="22"/>
          <w:szCs w:val="22"/>
        </w:rPr>
      </w:pPr>
      <w:r w:rsidRPr="00446C99">
        <w:rPr>
          <w:sz w:val="22"/>
          <w:szCs w:val="22"/>
        </w:rPr>
        <w:t>Outreach to nine secondary schools and the Cyril Potter College of Education</w:t>
      </w:r>
    </w:p>
    <w:p w14:paraId="150B0B41" w14:textId="77777777" w:rsidR="00ED71DF" w:rsidRPr="00446C99" w:rsidRDefault="00ED71DF" w:rsidP="00446C99">
      <w:pPr>
        <w:numPr>
          <w:ilvl w:val="0"/>
          <w:numId w:val="73"/>
        </w:numPr>
        <w:rPr>
          <w:sz w:val="22"/>
          <w:szCs w:val="22"/>
        </w:rPr>
      </w:pPr>
      <w:r w:rsidRPr="00446C99">
        <w:rPr>
          <w:sz w:val="22"/>
          <w:szCs w:val="22"/>
        </w:rPr>
        <w:t>Engagement with GGDMA</w:t>
      </w:r>
    </w:p>
    <w:p w14:paraId="63BB86F1" w14:textId="77777777" w:rsidR="00ED71DF" w:rsidRPr="00446C99" w:rsidRDefault="00ED71DF" w:rsidP="00446C99">
      <w:pPr>
        <w:numPr>
          <w:ilvl w:val="0"/>
          <w:numId w:val="73"/>
        </w:numPr>
        <w:rPr>
          <w:sz w:val="22"/>
          <w:szCs w:val="22"/>
        </w:rPr>
      </w:pPr>
      <w:r w:rsidRPr="00446C99">
        <w:rPr>
          <w:sz w:val="22"/>
          <w:szCs w:val="22"/>
        </w:rPr>
        <w:t>Engagement with ABCE diplomatic missions</w:t>
      </w:r>
    </w:p>
    <w:p w14:paraId="2C34AC96" w14:textId="77777777" w:rsidR="00ED71DF" w:rsidRPr="00446C99" w:rsidRDefault="00ED71DF" w:rsidP="00446C99">
      <w:pPr>
        <w:numPr>
          <w:ilvl w:val="0"/>
          <w:numId w:val="73"/>
        </w:numPr>
        <w:rPr>
          <w:sz w:val="22"/>
          <w:szCs w:val="22"/>
        </w:rPr>
      </w:pPr>
      <w:r w:rsidRPr="00446C99">
        <w:rPr>
          <w:sz w:val="22"/>
          <w:szCs w:val="22"/>
        </w:rPr>
        <w:t>Engagement with the Financial Intelligence Unit</w:t>
      </w:r>
    </w:p>
    <w:p w14:paraId="7BCDB295" w14:textId="77777777" w:rsidR="00ED71DF" w:rsidRPr="00446C99" w:rsidRDefault="00ED71DF" w:rsidP="00446C99">
      <w:pPr>
        <w:numPr>
          <w:ilvl w:val="0"/>
          <w:numId w:val="73"/>
        </w:numPr>
        <w:rPr>
          <w:sz w:val="22"/>
          <w:szCs w:val="22"/>
        </w:rPr>
      </w:pPr>
      <w:r w:rsidRPr="00446C99">
        <w:rPr>
          <w:sz w:val="22"/>
          <w:szCs w:val="22"/>
        </w:rPr>
        <w:t>Engagement with Youths in Natural Resources</w:t>
      </w:r>
    </w:p>
    <w:p w14:paraId="1D48F1E5" w14:textId="77777777" w:rsidR="00ED71DF" w:rsidRPr="00446C99" w:rsidRDefault="00ED71DF" w:rsidP="00446C99">
      <w:pPr>
        <w:numPr>
          <w:ilvl w:val="0"/>
          <w:numId w:val="73"/>
        </w:numPr>
        <w:rPr>
          <w:sz w:val="22"/>
          <w:szCs w:val="22"/>
        </w:rPr>
      </w:pPr>
      <w:r w:rsidRPr="00446C99">
        <w:rPr>
          <w:sz w:val="22"/>
          <w:szCs w:val="22"/>
        </w:rPr>
        <w:t>Engagement with the Ministry of Amerindian Affairs</w:t>
      </w:r>
    </w:p>
    <w:p w14:paraId="1274AA19" w14:textId="77777777" w:rsidR="00ED71DF" w:rsidRPr="00446C99" w:rsidRDefault="00ED71DF" w:rsidP="00446C99">
      <w:pPr>
        <w:numPr>
          <w:ilvl w:val="0"/>
          <w:numId w:val="73"/>
        </w:numPr>
        <w:rPr>
          <w:sz w:val="22"/>
          <w:szCs w:val="22"/>
        </w:rPr>
      </w:pPr>
      <w:r w:rsidRPr="00446C99">
        <w:rPr>
          <w:sz w:val="22"/>
          <w:szCs w:val="22"/>
        </w:rPr>
        <w:t>Participation in:</w:t>
      </w:r>
    </w:p>
    <w:p w14:paraId="20AE34A3" w14:textId="77777777" w:rsidR="00ED71DF" w:rsidRPr="00446C99" w:rsidRDefault="00ED71DF" w:rsidP="00446C99">
      <w:pPr>
        <w:numPr>
          <w:ilvl w:val="1"/>
          <w:numId w:val="73"/>
        </w:numPr>
        <w:rPr>
          <w:sz w:val="22"/>
          <w:szCs w:val="22"/>
        </w:rPr>
      </w:pPr>
      <w:r w:rsidRPr="00446C99">
        <w:rPr>
          <w:sz w:val="22"/>
          <w:szCs w:val="22"/>
        </w:rPr>
        <w:t>Guyana Energy and Supply Chain Expo</w:t>
      </w:r>
    </w:p>
    <w:p w14:paraId="5626037E" w14:textId="77777777" w:rsidR="00ED71DF" w:rsidRPr="00446C99" w:rsidRDefault="00ED71DF" w:rsidP="00446C99">
      <w:pPr>
        <w:numPr>
          <w:ilvl w:val="1"/>
          <w:numId w:val="73"/>
        </w:numPr>
        <w:rPr>
          <w:sz w:val="22"/>
          <w:szCs w:val="22"/>
        </w:rPr>
      </w:pPr>
      <w:r w:rsidRPr="00446C99">
        <w:rPr>
          <w:sz w:val="22"/>
          <w:szCs w:val="22"/>
        </w:rPr>
        <w:t>Guyana Housing Expo</w:t>
      </w:r>
    </w:p>
    <w:p w14:paraId="0B60CE0C" w14:textId="77777777" w:rsidR="00ED71DF" w:rsidRPr="00446C99" w:rsidRDefault="00ED71DF" w:rsidP="00446C99">
      <w:pPr>
        <w:numPr>
          <w:ilvl w:val="1"/>
          <w:numId w:val="73"/>
        </w:numPr>
        <w:rPr>
          <w:sz w:val="22"/>
          <w:szCs w:val="22"/>
        </w:rPr>
      </w:pPr>
      <w:r w:rsidRPr="00446C99">
        <w:rPr>
          <w:sz w:val="22"/>
          <w:szCs w:val="22"/>
        </w:rPr>
        <w:t>Berbice Expo 2025</w:t>
      </w:r>
    </w:p>
    <w:p w14:paraId="1BCD4A99" w14:textId="77777777" w:rsidR="00ED71DF" w:rsidRPr="00446C99" w:rsidRDefault="00ED71DF" w:rsidP="00446C99">
      <w:pPr>
        <w:numPr>
          <w:ilvl w:val="1"/>
          <w:numId w:val="73"/>
        </w:numPr>
        <w:rPr>
          <w:sz w:val="22"/>
          <w:szCs w:val="22"/>
        </w:rPr>
      </w:pPr>
      <w:r w:rsidRPr="00446C99">
        <w:rPr>
          <w:sz w:val="22"/>
          <w:szCs w:val="22"/>
        </w:rPr>
        <w:t>Human Rights and Anti-Corruption Expo 2025</w:t>
      </w:r>
    </w:p>
    <w:p w14:paraId="2DB397D0" w14:textId="77777777" w:rsidR="00ED71DF" w:rsidRPr="00446C99" w:rsidRDefault="00ED71DF" w:rsidP="00446C99">
      <w:pPr>
        <w:numPr>
          <w:ilvl w:val="1"/>
          <w:numId w:val="73"/>
        </w:numPr>
        <w:rPr>
          <w:sz w:val="22"/>
          <w:szCs w:val="22"/>
        </w:rPr>
      </w:pPr>
      <w:r w:rsidRPr="00446C99">
        <w:rPr>
          <w:sz w:val="22"/>
          <w:szCs w:val="22"/>
        </w:rPr>
        <w:t>Gas-to-Energy Job Fair and Expo 2025</w:t>
      </w:r>
    </w:p>
    <w:p w14:paraId="5DD3E44C" w14:textId="77777777" w:rsidR="00ED71DF" w:rsidRPr="00446C99" w:rsidRDefault="00ED71DF" w:rsidP="00446C99">
      <w:pPr>
        <w:numPr>
          <w:ilvl w:val="0"/>
          <w:numId w:val="73"/>
        </w:numPr>
        <w:rPr>
          <w:sz w:val="22"/>
          <w:szCs w:val="22"/>
        </w:rPr>
      </w:pPr>
      <w:r w:rsidRPr="00446C99">
        <w:rPr>
          <w:sz w:val="22"/>
          <w:szCs w:val="22"/>
        </w:rPr>
        <w:t>Engagement with small miners in Lethem</w:t>
      </w:r>
    </w:p>
    <w:p w14:paraId="24EA1A5E" w14:textId="77777777" w:rsidR="00ED71DF" w:rsidRPr="00446C99" w:rsidRDefault="00ED71DF" w:rsidP="00446C99">
      <w:pPr>
        <w:numPr>
          <w:ilvl w:val="0"/>
          <w:numId w:val="73"/>
        </w:numPr>
        <w:rPr>
          <w:sz w:val="22"/>
          <w:szCs w:val="22"/>
        </w:rPr>
      </w:pPr>
      <w:r w:rsidRPr="00446C99">
        <w:rPr>
          <w:sz w:val="22"/>
          <w:szCs w:val="22"/>
        </w:rPr>
        <w:t>Engagement with Women’s Chamber of Commerce</w:t>
      </w:r>
    </w:p>
    <w:p w14:paraId="44024B0F" w14:textId="77777777" w:rsidR="00ED71DF" w:rsidRPr="00446C99" w:rsidRDefault="00ED71DF" w:rsidP="00446C99">
      <w:pPr>
        <w:numPr>
          <w:ilvl w:val="0"/>
          <w:numId w:val="73"/>
        </w:numPr>
        <w:rPr>
          <w:sz w:val="22"/>
          <w:szCs w:val="22"/>
        </w:rPr>
      </w:pPr>
      <w:r w:rsidRPr="00446C99">
        <w:rPr>
          <w:sz w:val="22"/>
          <w:szCs w:val="22"/>
        </w:rPr>
        <w:t>Engagement with small businesswomen in Lethem</w:t>
      </w:r>
    </w:p>
    <w:p w14:paraId="27066028" w14:textId="77777777" w:rsidR="00ED71DF" w:rsidRPr="00446C99" w:rsidRDefault="00ED71DF" w:rsidP="00446C99">
      <w:pPr>
        <w:numPr>
          <w:ilvl w:val="0"/>
          <w:numId w:val="73"/>
        </w:numPr>
        <w:rPr>
          <w:sz w:val="22"/>
          <w:szCs w:val="22"/>
        </w:rPr>
      </w:pPr>
      <w:r w:rsidRPr="00446C99">
        <w:rPr>
          <w:sz w:val="22"/>
          <w:szCs w:val="22"/>
        </w:rPr>
        <w:t>Publication of three newsletters</w:t>
      </w:r>
    </w:p>
    <w:p w14:paraId="3AA3B2FA" w14:textId="77777777" w:rsidR="00ED71DF" w:rsidRPr="00446C99" w:rsidRDefault="00ED71DF" w:rsidP="00446C99">
      <w:pPr>
        <w:numPr>
          <w:ilvl w:val="0"/>
          <w:numId w:val="73"/>
        </w:numPr>
        <w:rPr>
          <w:sz w:val="22"/>
          <w:szCs w:val="22"/>
        </w:rPr>
      </w:pPr>
      <w:r w:rsidRPr="00446C99">
        <w:rPr>
          <w:sz w:val="22"/>
          <w:szCs w:val="22"/>
        </w:rPr>
        <w:t>Engagement with journalists</w:t>
      </w:r>
    </w:p>
    <w:p w14:paraId="3515EF7F" w14:textId="77777777" w:rsidR="00ED71DF" w:rsidRPr="00446C99" w:rsidRDefault="00ED71DF" w:rsidP="00446C99">
      <w:pPr>
        <w:numPr>
          <w:ilvl w:val="0"/>
          <w:numId w:val="73"/>
        </w:numPr>
        <w:rPr>
          <w:sz w:val="22"/>
          <w:szCs w:val="22"/>
        </w:rPr>
      </w:pPr>
      <w:r w:rsidRPr="00446C99">
        <w:rPr>
          <w:sz w:val="22"/>
          <w:szCs w:val="22"/>
        </w:rPr>
        <w:t>Continued website enhancements</w:t>
      </w:r>
    </w:p>
    <w:p w14:paraId="60407EDB" w14:textId="3CF8AF0F" w:rsidR="00ED71DF" w:rsidRPr="000D7A87" w:rsidRDefault="00ED71DF" w:rsidP="00446C99">
      <w:pPr>
        <w:rPr>
          <w:sz w:val="22"/>
          <w:szCs w:val="22"/>
        </w:rPr>
      </w:pPr>
      <w:r w:rsidRPr="00446C99">
        <w:rPr>
          <w:sz w:val="22"/>
          <w:szCs w:val="22"/>
        </w:rPr>
        <w:t>These engagements strengthened public awareness and multi-stakeholder participation.</w:t>
      </w:r>
    </w:p>
    <w:p w14:paraId="4B31FF8C" w14:textId="77777777" w:rsidR="005755F9" w:rsidRPr="005755F9" w:rsidRDefault="005755F9" w:rsidP="000D7A87">
      <w:pPr>
        <w:pStyle w:val="APR"/>
      </w:pPr>
      <w:bookmarkStart w:id="30" w:name="_Toc225776205"/>
      <w:r w:rsidRPr="005755F9">
        <w:t>9. Capacity Building (2025)</w:t>
      </w:r>
      <w:bookmarkEnd w:id="30"/>
    </w:p>
    <w:p w14:paraId="5825687D" w14:textId="77777777" w:rsidR="005755F9" w:rsidRPr="005755F9" w:rsidRDefault="005755F9" w:rsidP="005755F9">
      <w:pPr>
        <w:rPr>
          <w:sz w:val="22"/>
          <w:szCs w:val="22"/>
        </w:rPr>
      </w:pPr>
      <w:r w:rsidRPr="005755F9">
        <w:rPr>
          <w:sz w:val="22"/>
          <w:szCs w:val="22"/>
        </w:rPr>
        <w:t>Capacity-building initiatives in 2025 focused on enhancing Secretariat staff and MSG members’ ability to implement EITI requirements effectively:</w:t>
      </w:r>
    </w:p>
    <w:p w14:paraId="2E2659F4" w14:textId="77777777" w:rsidR="005755F9" w:rsidRPr="005755F9" w:rsidRDefault="005755F9" w:rsidP="005755F9">
      <w:pPr>
        <w:numPr>
          <w:ilvl w:val="0"/>
          <w:numId w:val="82"/>
        </w:numPr>
        <w:rPr>
          <w:sz w:val="22"/>
          <w:szCs w:val="22"/>
        </w:rPr>
      </w:pPr>
      <w:r w:rsidRPr="005755F9">
        <w:rPr>
          <w:sz w:val="22"/>
          <w:szCs w:val="22"/>
        </w:rPr>
        <w:t>World Bank consultant Mr. Sam Tokpah provided technical support and training in:</w:t>
      </w:r>
    </w:p>
    <w:p w14:paraId="1055B79E" w14:textId="77777777" w:rsidR="005755F9" w:rsidRPr="005755F9" w:rsidRDefault="005755F9" w:rsidP="005755F9">
      <w:pPr>
        <w:numPr>
          <w:ilvl w:val="1"/>
          <w:numId w:val="82"/>
        </w:numPr>
        <w:rPr>
          <w:sz w:val="22"/>
          <w:szCs w:val="22"/>
        </w:rPr>
      </w:pPr>
      <w:r w:rsidRPr="005755F9">
        <w:rPr>
          <w:sz w:val="22"/>
          <w:szCs w:val="22"/>
        </w:rPr>
        <w:t>Systematic disclosure</w:t>
      </w:r>
    </w:p>
    <w:p w14:paraId="4371D0EF" w14:textId="77777777" w:rsidR="005755F9" w:rsidRPr="005755F9" w:rsidRDefault="005755F9" w:rsidP="005755F9">
      <w:pPr>
        <w:numPr>
          <w:ilvl w:val="1"/>
          <w:numId w:val="82"/>
        </w:numPr>
        <w:rPr>
          <w:sz w:val="22"/>
          <w:szCs w:val="22"/>
        </w:rPr>
      </w:pPr>
      <w:r w:rsidRPr="005755F9">
        <w:rPr>
          <w:sz w:val="22"/>
          <w:szCs w:val="22"/>
        </w:rPr>
        <w:t>Validation preparation</w:t>
      </w:r>
    </w:p>
    <w:p w14:paraId="006944EF" w14:textId="77777777" w:rsidR="005755F9" w:rsidRPr="005755F9" w:rsidRDefault="005755F9" w:rsidP="005755F9">
      <w:pPr>
        <w:numPr>
          <w:ilvl w:val="1"/>
          <w:numId w:val="82"/>
        </w:numPr>
        <w:rPr>
          <w:sz w:val="22"/>
          <w:szCs w:val="22"/>
        </w:rPr>
      </w:pPr>
      <w:r w:rsidRPr="005755F9">
        <w:rPr>
          <w:sz w:val="22"/>
          <w:szCs w:val="22"/>
        </w:rPr>
        <w:t>EITI compliance requirements</w:t>
      </w:r>
    </w:p>
    <w:p w14:paraId="61862BB6" w14:textId="1AE9FC33" w:rsidR="005755F9" w:rsidRPr="005755F9" w:rsidRDefault="005755F9" w:rsidP="005755F9">
      <w:pPr>
        <w:numPr>
          <w:ilvl w:val="0"/>
          <w:numId w:val="82"/>
        </w:numPr>
        <w:rPr>
          <w:sz w:val="22"/>
          <w:szCs w:val="22"/>
        </w:rPr>
      </w:pPr>
      <w:r w:rsidRPr="005755F9">
        <w:rPr>
          <w:sz w:val="22"/>
          <w:szCs w:val="22"/>
        </w:rPr>
        <w:t>One Secretariat staff member completed a graphic design program</w:t>
      </w:r>
      <w:r w:rsidR="003E7031">
        <w:rPr>
          <w:sz w:val="22"/>
          <w:szCs w:val="22"/>
        </w:rPr>
        <w:t>me</w:t>
      </w:r>
      <w:r w:rsidRPr="005755F9">
        <w:rPr>
          <w:sz w:val="22"/>
          <w:szCs w:val="22"/>
        </w:rPr>
        <w:t>, improving the team’s capacity to produce visually engaging reports, bulletins, and outreach materials.</w:t>
      </w:r>
    </w:p>
    <w:p w14:paraId="7347C95F" w14:textId="77777777" w:rsidR="005755F9" w:rsidRPr="005755F9" w:rsidRDefault="005755F9" w:rsidP="005755F9">
      <w:pPr>
        <w:rPr>
          <w:sz w:val="22"/>
          <w:szCs w:val="22"/>
        </w:rPr>
      </w:pPr>
      <w:r w:rsidRPr="005755F9">
        <w:rPr>
          <w:sz w:val="22"/>
          <w:szCs w:val="22"/>
        </w:rPr>
        <w:t>These efforts contributed to stronger technical skills, improved communication outputs, and better preparedness for upcoming Validation and EITI compliance activities.</w:t>
      </w:r>
    </w:p>
    <w:p w14:paraId="3851AAB9" w14:textId="51C11649" w:rsidR="00ED71DF" w:rsidRPr="00ED71DF" w:rsidRDefault="00ED71DF" w:rsidP="00EC4B2A"/>
    <w:p w14:paraId="300F5E90" w14:textId="77777777" w:rsidR="00ED71DF" w:rsidRPr="00F56ED3" w:rsidRDefault="00ED71DF" w:rsidP="000D7A87">
      <w:pPr>
        <w:pStyle w:val="APR"/>
      </w:pPr>
      <w:bookmarkStart w:id="31" w:name="_Toc225776206"/>
      <w:r w:rsidRPr="00F56ED3">
        <w:lastRenderedPageBreak/>
        <w:t>10. MSG Governance and Meetings</w:t>
      </w:r>
      <w:bookmarkEnd w:id="31"/>
    </w:p>
    <w:p w14:paraId="7267DF4A" w14:textId="77777777" w:rsidR="00233F03" w:rsidRPr="00233F03" w:rsidRDefault="00233F03" w:rsidP="00233F03">
      <w:pPr>
        <w:jc w:val="both"/>
        <w:rPr>
          <w:sz w:val="22"/>
          <w:szCs w:val="22"/>
        </w:rPr>
      </w:pPr>
      <w:r w:rsidRPr="00233F03">
        <w:rPr>
          <w:sz w:val="22"/>
          <w:szCs w:val="22"/>
        </w:rPr>
        <w:t>The Multi-Stakeholder Group (MSG) was reconstituted in August 2025, following the appointment of new representatives from Government, Industry, and Civil Society. Prior to this reconstitution, no MSG meetings were held in 2025.</w:t>
      </w:r>
    </w:p>
    <w:p w14:paraId="15EE1D03" w14:textId="77777777" w:rsidR="00233F03" w:rsidRPr="00233F03" w:rsidRDefault="00233F03" w:rsidP="00233F03">
      <w:pPr>
        <w:jc w:val="both"/>
        <w:rPr>
          <w:sz w:val="22"/>
          <w:szCs w:val="22"/>
        </w:rPr>
      </w:pPr>
      <w:r w:rsidRPr="00233F03">
        <w:rPr>
          <w:sz w:val="22"/>
          <w:szCs w:val="22"/>
        </w:rPr>
        <w:t>Following reconstitution:</w:t>
      </w:r>
    </w:p>
    <w:p w14:paraId="6ADBAAC5" w14:textId="73F58B79" w:rsidR="00233F03" w:rsidRPr="00233F03" w:rsidRDefault="00233F03" w:rsidP="00233F03">
      <w:pPr>
        <w:numPr>
          <w:ilvl w:val="0"/>
          <w:numId w:val="84"/>
        </w:numPr>
        <w:jc w:val="both"/>
        <w:rPr>
          <w:sz w:val="22"/>
          <w:szCs w:val="22"/>
        </w:rPr>
      </w:pPr>
      <w:r w:rsidRPr="00233F03">
        <w:rPr>
          <w:sz w:val="22"/>
          <w:szCs w:val="22"/>
        </w:rPr>
        <w:t xml:space="preserve">A total </w:t>
      </w:r>
      <w:r w:rsidRPr="00125FC4">
        <w:rPr>
          <w:sz w:val="22"/>
          <w:szCs w:val="22"/>
        </w:rPr>
        <w:t>of</w:t>
      </w:r>
      <w:r w:rsidR="003C20F0" w:rsidRPr="00125FC4">
        <w:rPr>
          <w:sz w:val="22"/>
          <w:szCs w:val="22"/>
        </w:rPr>
        <w:t xml:space="preserve"> 4 scheduled </w:t>
      </w:r>
      <w:r w:rsidRPr="00125FC4">
        <w:rPr>
          <w:sz w:val="22"/>
          <w:szCs w:val="22"/>
        </w:rPr>
        <w:t xml:space="preserve">statutory MSG meetings </w:t>
      </w:r>
      <w:r w:rsidRPr="00233F03">
        <w:rPr>
          <w:sz w:val="22"/>
          <w:szCs w:val="22"/>
        </w:rPr>
        <w:t xml:space="preserve">were convened </w:t>
      </w:r>
      <w:r w:rsidR="00125FC4">
        <w:rPr>
          <w:sz w:val="22"/>
          <w:szCs w:val="22"/>
        </w:rPr>
        <w:t xml:space="preserve"> in 2025 </w:t>
      </w:r>
      <w:r w:rsidRPr="00233F03">
        <w:rPr>
          <w:sz w:val="22"/>
          <w:szCs w:val="22"/>
        </w:rPr>
        <w:t>to advance the workplan and oversee EITI implementation.</w:t>
      </w:r>
    </w:p>
    <w:p w14:paraId="083327A1" w14:textId="00DC4B97" w:rsidR="00233F03" w:rsidRPr="00233F03" w:rsidRDefault="00233F03" w:rsidP="00233F03">
      <w:pPr>
        <w:numPr>
          <w:ilvl w:val="0"/>
          <w:numId w:val="84"/>
        </w:numPr>
        <w:jc w:val="both"/>
        <w:rPr>
          <w:sz w:val="22"/>
          <w:szCs w:val="22"/>
        </w:rPr>
      </w:pPr>
      <w:r w:rsidRPr="00233F03">
        <w:rPr>
          <w:sz w:val="22"/>
          <w:szCs w:val="22"/>
        </w:rPr>
        <w:t xml:space="preserve">Several </w:t>
      </w:r>
      <w:r w:rsidR="003E7031">
        <w:rPr>
          <w:sz w:val="22"/>
          <w:szCs w:val="22"/>
        </w:rPr>
        <w:t>(how many exactly?)</w:t>
      </w:r>
      <w:r w:rsidRPr="00233F03">
        <w:rPr>
          <w:sz w:val="22"/>
          <w:szCs w:val="22"/>
        </w:rPr>
        <w:t>committee meetings were conducted, focusing on:</w:t>
      </w:r>
    </w:p>
    <w:p w14:paraId="2D83F9DF" w14:textId="77777777" w:rsidR="00233F03" w:rsidRPr="00233F03" w:rsidRDefault="00233F03" w:rsidP="00233F03">
      <w:pPr>
        <w:numPr>
          <w:ilvl w:val="1"/>
          <w:numId w:val="84"/>
        </w:numPr>
        <w:jc w:val="both"/>
        <w:rPr>
          <w:sz w:val="22"/>
          <w:szCs w:val="22"/>
        </w:rPr>
      </w:pPr>
      <w:r w:rsidRPr="00233F03">
        <w:rPr>
          <w:sz w:val="22"/>
          <w:szCs w:val="22"/>
        </w:rPr>
        <w:t>Review and finalization of validation templates</w:t>
      </w:r>
    </w:p>
    <w:p w14:paraId="3B15A432" w14:textId="77777777" w:rsidR="00233F03" w:rsidRPr="00233F03" w:rsidRDefault="00233F03" w:rsidP="00233F03">
      <w:pPr>
        <w:numPr>
          <w:ilvl w:val="1"/>
          <w:numId w:val="84"/>
        </w:numPr>
        <w:jc w:val="both"/>
        <w:rPr>
          <w:sz w:val="22"/>
          <w:szCs w:val="22"/>
        </w:rPr>
      </w:pPr>
      <w:r w:rsidRPr="00233F03">
        <w:rPr>
          <w:sz w:val="22"/>
          <w:szCs w:val="22"/>
        </w:rPr>
        <w:t>Preparation and guidance for the FY 2023 EITI Report</w:t>
      </w:r>
    </w:p>
    <w:p w14:paraId="4848F73E" w14:textId="77777777" w:rsidR="00233F03" w:rsidRPr="00233F03" w:rsidRDefault="00233F03" w:rsidP="00233F03">
      <w:pPr>
        <w:numPr>
          <w:ilvl w:val="1"/>
          <w:numId w:val="84"/>
        </w:numPr>
        <w:jc w:val="both"/>
        <w:rPr>
          <w:sz w:val="22"/>
          <w:szCs w:val="22"/>
        </w:rPr>
      </w:pPr>
      <w:r w:rsidRPr="00233F03">
        <w:rPr>
          <w:sz w:val="22"/>
          <w:szCs w:val="22"/>
        </w:rPr>
        <w:t>Monitoring progress on the MSG-approved workplan</w:t>
      </w:r>
    </w:p>
    <w:p w14:paraId="3241E0A3" w14:textId="77777777" w:rsidR="00233F03" w:rsidRPr="00233F03" w:rsidRDefault="00233F03" w:rsidP="00233F03">
      <w:pPr>
        <w:jc w:val="both"/>
        <w:rPr>
          <w:sz w:val="22"/>
          <w:szCs w:val="22"/>
        </w:rPr>
      </w:pPr>
      <w:r w:rsidRPr="00233F03">
        <w:rPr>
          <w:sz w:val="22"/>
          <w:szCs w:val="22"/>
        </w:rPr>
        <w:t>During the reconstitution process, objections were raised regarding the composition of Civil Society representatives. The International Secretariat was consulted, and its guidance sought to ensure compliance with international best practice. A final resolution on the contested appointments is expected to continue into 2026.</w:t>
      </w:r>
    </w:p>
    <w:p w14:paraId="26A86BEA" w14:textId="68666E47" w:rsidR="00ED71DF" w:rsidRPr="000D7A87" w:rsidRDefault="00233F03" w:rsidP="00065075">
      <w:pPr>
        <w:jc w:val="both"/>
        <w:rPr>
          <w:sz w:val="22"/>
          <w:szCs w:val="22"/>
        </w:rPr>
      </w:pPr>
      <w:r w:rsidRPr="00233F03">
        <w:rPr>
          <w:sz w:val="22"/>
          <w:szCs w:val="22"/>
        </w:rPr>
        <w:t>These meetings facilitated effective oversight, coordination, and decision-making, ensuring that EITI processes, reporting, and governance were aligned with the 2023 EITI Standard.</w:t>
      </w:r>
    </w:p>
    <w:p w14:paraId="2640B88A" w14:textId="77777777" w:rsidR="00ED71DF" w:rsidRPr="00F56ED3" w:rsidRDefault="00ED71DF" w:rsidP="000D7A87">
      <w:pPr>
        <w:pStyle w:val="APR"/>
      </w:pPr>
      <w:bookmarkStart w:id="32" w:name="_Toc225776207"/>
      <w:r w:rsidRPr="00F56ED3">
        <w:t>11. Constituency Feedback Mechanism</w:t>
      </w:r>
      <w:bookmarkEnd w:id="32"/>
    </w:p>
    <w:p w14:paraId="405F9568" w14:textId="77777777" w:rsidR="00E05B04" w:rsidRPr="00E05B04" w:rsidRDefault="00E05B04" w:rsidP="00E05B04">
      <w:pPr>
        <w:spacing w:line="276" w:lineRule="auto"/>
        <w:jc w:val="both"/>
        <w:rPr>
          <w:sz w:val="22"/>
          <w:szCs w:val="22"/>
        </w:rPr>
      </w:pPr>
      <w:r w:rsidRPr="00E05B04">
        <w:rPr>
          <w:sz w:val="22"/>
          <w:szCs w:val="22"/>
        </w:rPr>
        <w:t>Each MSG constituency is required to consult its broader membership in accordance with Section 5.3.3 of the TOR.</w:t>
      </w:r>
    </w:p>
    <w:p w14:paraId="2DF39292" w14:textId="77777777" w:rsidR="00E05B04" w:rsidRPr="00E05B04" w:rsidRDefault="00E05B04" w:rsidP="00E05B04">
      <w:pPr>
        <w:spacing w:line="276" w:lineRule="auto"/>
        <w:jc w:val="both"/>
        <w:rPr>
          <w:sz w:val="22"/>
          <w:szCs w:val="22"/>
        </w:rPr>
      </w:pPr>
      <w:r w:rsidRPr="00E05B04">
        <w:rPr>
          <w:b/>
          <w:bCs/>
          <w:sz w:val="22"/>
          <w:szCs w:val="22"/>
        </w:rPr>
        <w:t>Industry</w:t>
      </w:r>
    </w:p>
    <w:p w14:paraId="744AB211" w14:textId="77777777" w:rsidR="00E05B04" w:rsidRPr="00E05B04" w:rsidRDefault="00E05B04" w:rsidP="00E05B04">
      <w:pPr>
        <w:numPr>
          <w:ilvl w:val="0"/>
          <w:numId w:val="85"/>
        </w:numPr>
        <w:spacing w:line="276" w:lineRule="auto"/>
        <w:jc w:val="both"/>
        <w:rPr>
          <w:sz w:val="22"/>
          <w:szCs w:val="22"/>
        </w:rPr>
      </w:pPr>
      <w:r w:rsidRPr="00E05B04">
        <w:rPr>
          <w:sz w:val="22"/>
          <w:szCs w:val="22"/>
        </w:rPr>
        <w:t>Industry representatives meet monthly to coordinate positions and prepare for statutory MSG meetings.</w:t>
      </w:r>
    </w:p>
    <w:p w14:paraId="709E3DDE" w14:textId="77777777" w:rsidR="00E05B04" w:rsidRPr="00E05B04" w:rsidRDefault="00E05B04" w:rsidP="00E05B04">
      <w:pPr>
        <w:spacing w:line="276" w:lineRule="auto"/>
        <w:jc w:val="both"/>
        <w:rPr>
          <w:sz w:val="22"/>
          <w:szCs w:val="22"/>
        </w:rPr>
      </w:pPr>
      <w:r w:rsidRPr="00E05B04">
        <w:rPr>
          <w:b/>
          <w:bCs/>
          <w:sz w:val="22"/>
          <w:szCs w:val="22"/>
        </w:rPr>
        <w:t>Government</w:t>
      </w:r>
    </w:p>
    <w:p w14:paraId="01B86C0E" w14:textId="77777777" w:rsidR="00E05B04" w:rsidRPr="00E05B04" w:rsidRDefault="00E05B04" w:rsidP="00E05B04">
      <w:pPr>
        <w:numPr>
          <w:ilvl w:val="0"/>
          <w:numId w:val="86"/>
        </w:numPr>
        <w:spacing w:line="276" w:lineRule="auto"/>
        <w:jc w:val="both"/>
        <w:rPr>
          <w:sz w:val="22"/>
          <w:szCs w:val="22"/>
        </w:rPr>
      </w:pPr>
      <w:r w:rsidRPr="00E05B04">
        <w:rPr>
          <w:sz w:val="22"/>
          <w:szCs w:val="22"/>
        </w:rPr>
        <w:t>Government representatives consult internally through formal and informal mechanisms, including inter-agency coordination and digital communication platforms.</w:t>
      </w:r>
    </w:p>
    <w:p w14:paraId="1B16190C" w14:textId="77777777" w:rsidR="00E05B04" w:rsidRPr="00E05B04" w:rsidRDefault="00E05B04" w:rsidP="00E05B04">
      <w:pPr>
        <w:spacing w:line="276" w:lineRule="auto"/>
        <w:jc w:val="both"/>
        <w:rPr>
          <w:sz w:val="22"/>
          <w:szCs w:val="22"/>
        </w:rPr>
      </w:pPr>
      <w:r w:rsidRPr="00E05B04">
        <w:rPr>
          <w:b/>
          <w:bCs/>
          <w:sz w:val="22"/>
          <w:szCs w:val="22"/>
        </w:rPr>
        <w:t>Civil Society</w:t>
      </w:r>
    </w:p>
    <w:p w14:paraId="39CBB189" w14:textId="77777777" w:rsidR="00E05B04" w:rsidRPr="00E05B04" w:rsidRDefault="00E05B04" w:rsidP="00E05B04">
      <w:pPr>
        <w:numPr>
          <w:ilvl w:val="0"/>
          <w:numId w:val="87"/>
        </w:numPr>
        <w:spacing w:line="276" w:lineRule="auto"/>
        <w:jc w:val="both"/>
        <w:rPr>
          <w:sz w:val="22"/>
          <w:szCs w:val="22"/>
        </w:rPr>
      </w:pPr>
      <w:r w:rsidRPr="006B2816">
        <w:rPr>
          <w:sz w:val="22"/>
          <w:szCs w:val="22"/>
        </w:rPr>
        <w:t>Following recommendations from the International Secretariat regarding composition, a two-day coordination session was held to align Civil Society participation with international best practice.</w:t>
      </w:r>
      <w:r w:rsidRPr="00E05B04">
        <w:rPr>
          <w:sz w:val="22"/>
          <w:szCs w:val="22"/>
        </w:rPr>
        <w:t xml:space="preserve"> This led to the </w:t>
      </w:r>
      <w:r w:rsidRPr="00E05B04">
        <w:rPr>
          <w:b/>
          <w:bCs/>
          <w:sz w:val="22"/>
          <w:szCs w:val="22"/>
        </w:rPr>
        <w:t>reconstitution of Civil Society representation</w:t>
      </w:r>
      <w:r w:rsidRPr="00E05B04">
        <w:rPr>
          <w:sz w:val="22"/>
          <w:szCs w:val="22"/>
        </w:rPr>
        <w:t xml:space="preserve"> on the MSG.</w:t>
      </w:r>
    </w:p>
    <w:p w14:paraId="5666ACE2" w14:textId="77777777" w:rsidR="00E05B04" w:rsidRPr="00E05B04" w:rsidRDefault="00E05B04" w:rsidP="00E05B04">
      <w:pPr>
        <w:numPr>
          <w:ilvl w:val="0"/>
          <w:numId w:val="87"/>
        </w:numPr>
        <w:spacing w:line="276" w:lineRule="auto"/>
        <w:jc w:val="both"/>
        <w:rPr>
          <w:sz w:val="22"/>
          <w:szCs w:val="22"/>
        </w:rPr>
      </w:pPr>
      <w:r w:rsidRPr="00E05B04">
        <w:rPr>
          <w:sz w:val="22"/>
          <w:szCs w:val="22"/>
        </w:rPr>
        <w:t>Civil Society members caucus regularly and engage their broader networks to ensure positions reflect constituency input rather than individual perspectives.</w:t>
      </w:r>
    </w:p>
    <w:p w14:paraId="3C034B52" w14:textId="5E6339DB" w:rsidR="00E05B04" w:rsidRPr="00E05B04" w:rsidRDefault="00E05B04" w:rsidP="00E05B04">
      <w:pPr>
        <w:numPr>
          <w:ilvl w:val="0"/>
          <w:numId w:val="87"/>
        </w:numPr>
        <w:spacing w:line="276" w:lineRule="auto"/>
        <w:rPr>
          <w:sz w:val="22"/>
          <w:szCs w:val="22"/>
        </w:rPr>
      </w:pPr>
      <w:r w:rsidRPr="00E05B04">
        <w:rPr>
          <w:sz w:val="22"/>
          <w:szCs w:val="22"/>
        </w:rPr>
        <w:t xml:space="preserve">The process continues to be refined in line </w:t>
      </w:r>
      <w:r w:rsidR="00B0308A" w:rsidRPr="00B0308A">
        <w:rPr>
          <w:sz w:val="22"/>
          <w:szCs w:val="22"/>
        </w:rPr>
        <w:t>with guidance from the International Secretariat, with remaining issues to be resolved in 2026.</w:t>
      </w:r>
    </w:p>
    <w:p w14:paraId="3FF63539" w14:textId="60BCC37F" w:rsidR="00532AB8" w:rsidRPr="00BC6793" w:rsidRDefault="00BB1975" w:rsidP="00BC6793">
      <w:pPr>
        <w:spacing w:line="276" w:lineRule="auto"/>
        <w:rPr>
          <w:b/>
          <w:bCs/>
          <w:color w:val="FF0000"/>
          <w:sz w:val="22"/>
          <w:szCs w:val="22"/>
          <w:shd w:val="clear" w:color="auto" w:fill="FFFFFF"/>
        </w:rPr>
      </w:pPr>
      <w:r w:rsidRPr="00C40E52">
        <w:rPr>
          <w:b/>
          <w:bCs/>
          <w:color w:val="FF0000"/>
          <w:sz w:val="22"/>
          <w:szCs w:val="22"/>
          <w:shd w:val="clear" w:color="auto" w:fill="FFFFFF"/>
        </w:rPr>
        <w:br w:type="page"/>
      </w:r>
      <w:bookmarkEnd w:id="24"/>
    </w:p>
    <w:p w14:paraId="24781CD5" w14:textId="0B8AA0A0" w:rsidR="00532AB8" w:rsidRDefault="00532AB8" w:rsidP="00582E54">
      <w:pPr>
        <w:pStyle w:val="Heading1"/>
        <w:shd w:val="clear" w:color="auto" w:fill="45B0E1" w:themeFill="accent1" w:themeFillTint="99"/>
        <w:spacing w:line="276" w:lineRule="auto"/>
        <w:rPr>
          <w:b/>
          <w:bCs/>
          <w:sz w:val="28"/>
          <w:szCs w:val="28"/>
        </w:rPr>
      </w:pPr>
      <w:bookmarkStart w:id="33" w:name="_Toc164687935"/>
      <w:bookmarkStart w:id="34" w:name="_Toc225776208"/>
      <w:r w:rsidRPr="00AB29B4">
        <w:rPr>
          <w:b/>
          <w:bCs/>
          <w:sz w:val="28"/>
          <w:szCs w:val="28"/>
        </w:rPr>
        <w:lastRenderedPageBreak/>
        <w:t>Assessment of Performance against EITI Requirements</w:t>
      </w:r>
      <w:bookmarkEnd w:id="33"/>
      <w:bookmarkEnd w:id="34"/>
    </w:p>
    <w:tbl>
      <w:tblPr>
        <w:tblStyle w:val="TableGrid1"/>
        <w:tblW w:w="9895" w:type="dxa"/>
        <w:tblLayout w:type="fixed"/>
        <w:tblLook w:val="0620" w:firstRow="1" w:lastRow="0" w:firstColumn="0" w:lastColumn="0" w:noHBand="1" w:noVBand="1"/>
      </w:tblPr>
      <w:tblGrid>
        <w:gridCol w:w="4495"/>
        <w:gridCol w:w="5400"/>
      </w:tblGrid>
      <w:tr w:rsidR="001B2F93" w:rsidRPr="001B2F93" w14:paraId="674528C0" w14:textId="77777777" w:rsidTr="00A74514">
        <w:trPr>
          <w:tblHeader/>
        </w:trPr>
        <w:tc>
          <w:tcPr>
            <w:tcW w:w="4495" w:type="dxa"/>
            <w:shd w:val="clear" w:color="auto" w:fill="D0CECE"/>
          </w:tcPr>
          <w:p w14:paraId="2BFFB9FE" w14:textId="77777777" w:rsidR="001B2F93" w:rsidRPr="001B2F93" w:rsidRDefault="001B2F93" w:rsidP="001414F5">
            <w:pPr>
              <w:contextualSpacing/>
              <w:jc w:val="center"/>
              <w:rPr>
                <w:rFonts w:eastAsia="Calibri"/>
                <w:sz w:val="24"/>
                <w:szCs w:val="24"/>
              </w:rPr>
            </w:pPr>
            <w:r w:rsidRPr="001B2F93">
              <w:rPr>
                <w:rFonts w:eastAsia="Calibri"/>
                <w:b/>
                <w:bCs/>
                <w:sz w:val="24"/>
                <w:szCs w:val="24"/>
              </w:rPr>
              <w:t>Requirement</w:t>
            </w:r>
          </w:p>
        </w:tc>
        <w:tc>
          <w:tcPr>
            <w:tcW w:w="5400" w:type="dxa"/>
            <w:shd w:val="clear" w:color="auto" w:fill="D0CECE"/>
          </w:tcPr>
          <w:p w14:paraId="0C8F0F28" w14:textId="77777777" w:rsidR="001B2F93" w:rsidRPr="001B2F93" w:rsidRDefault="001B2F93" w:rsidP="001414F5">
            <w:pPr>
              <w:ind w:left="720"/>
              <w:contextualSpacing/>
              <w:jc w:val="center"/>
              <w:rPr>
                <w:rFonts w:eastAsia="Calibri"/>
                <w:b/>
                <w:bCs/>
                <w:sz w:val="24"/>
                <w:szCs w:val="24"/>
              </w:rPr>
            </w:pPr>
            <w:r w:rsidRPr="001B2F93">
              <w:rPr>
                <w:rFonts w:eastAsia="Calibri"/>
                <w:b/>
                <w:bCs/>
                <w:sz w:val="24"/>
                <w:szCs w:val="24"/>
              </w:rPr>
              <w:t>Progress</w:t>
            </w:r>
          </w:p>
        </w:tc>
      </w:tr>
      <w:tr w:rsidR="001B2F93" w:rsidRPr="001B2F93" w14:paraId="006156E7" w14:textId="77777777" w:rsidTr="00A74514">
        <w:tc>
          <w:tcPr>
            <w:tcW w:w="4495" w:type="dxa"/>
          </w:tcPr>
          <w:p w14:paraId="633948EE" w14:textId="77777777" w:rsidR="001B2F93" w:rsidRPr="001B2F93" w:rsidRDefault="001B2F93" w:rsidP="001414F5">
            <w:pPr>
              <w:contextualSpacing/>
              <w:jc w:val="both"/>
              <w:rPr>
                <w:rFonts w:eastAsia="Calibri"/>
                <w:b/>
                <w:sz w:val="20"/>
                <w:szCs w:val="20"/>
                <w:u w:val="single"/>
              </w:rPr>
            </w:pPr>
          </w:p>
          <w:p w14:paraId="27AFC3FB" w14:textId="77777777" w:rsidR="001B2F93" w:rsidRPr="001B2F93" w:rsidRDefault="001B2F93" w:rsidP="001414F5">
            <w:pPr>
              <w:contextualSpacing/>
              <w:jc w:val="both"/>
              <w:rPr>
                <w:rFonts w:eastAsia="Calibri"/>
                <w:b/>
                <w:sz w:val="20"/>
                <w:szCs w:val="20"/>
                <w:u w:val="single"/>
              </w:rPr>
            </w:pPr>
            <w:r w:rsidRPr="001B2F93">
              <w:rPr>
                <w:rFonts w:eastAsia="Calibri"/>
                <w:b/>
                <w:sz w:val="20"/>
                <w:szCs w:val="20"/>
                <w:u w:val="single"/>
              </w:rPr>
              <w:t>1.1 Government engagement.</w:t>
            </w:r>
          </w:p>
          <w:p w14:paraId="1CFE2EC8" w14:textId="77777777" w:rsidR="001B2F93" w:rsidRPr="001B2F93" w:rsidRDefault="001B2F93" w:rsidP="001414F5">
            <w:pPr>
              <w:contextualSpacing/>
              <w:jc w:val="both"/>
              <w:rPr>
                <w:rFonts w:eastAsia="Calibri"/>
                <w:sz w:val="20"/>
                <w:szCs w:val="20"/>
                <w:u w:val="single"/>
              </w:rPr>
            </w:pPr>
          </w:p>
          <w:p w14:paraId="5E5563C7" w14:textId="77777777" w:rsidR="001B2F93" w:rsidRPr="001B2F93" w:rsidRDefault="001B2F93" w:rsidP="001414F5">
            <w:pPr>
              <w:contextualSpacing/>
              <w:jc w:val="both"/>
              <w:rPr>
                <w:rFonts w:eastAsia="Calibri"/>
                <w:sz w:val="20"/>
                <w:szCs w:val="20"/>
                <w:u w:val="single"/>
              </w:rPr>
            </w:pPr>
            <w:r w:rsidRPr="001B2F93">
              <w:rPr>
                <w:rFonts w:eastAsia="Calibri"/>
                <w:sz w:val="20"/>
                <w:szCs w:val="20"/>
                <w:u w:val="single"/>
              </w:rPr>
              <w:t>Requirement 1.1(a)</w:t>
            </w:r>
          </w:p>
          <w:p w14:paraId="0CE1C12F" w14:textId="77777777" w:rsidR="001B2F93" w:rsidRPr="001B2F93" w:rsidRDefault="001B2F93" w:rsidP="001414F5">
            <w:pPr>
              <w:contextualSpacing/>
              <w:jc w:val="both"/>
              <w:rPr>
                <w:rFonts w:eastAsia="Calibri"/>
                <w:sz w:val="20"/>
                <w:szCs w:val="20"/>
              </w:rPr>
            </w:pPr>
            <w:r w:rsidRPr="001B2F93">
              <w:rPr>
                <w:rFonts w:eastAsia="Calibri"/>
                <w:sz w:val="20"/>
                <w:szCs w:val="20"/>
              </w:rPr>
              <w:t>The government is required to issue an unequivocal public statement of its intention to implement the EITI. The head must make the statement of state or government or an appropriately delegated government representative.</w:t>
            </w:r>
          </w:p>
          <w:p w14:paraId="4BBCCD2A" w14:textId="77777777" w:rsidR="001B2F93" w:rsidRPr="001B2F93" w:rsidRDefault="001B2F93" w:rsidP="001414F5">
            <w:pPr>
              <w:contextualSpacing/>
              <w:jc w:val="both"/>
              <w:rPr>
                <w:rFonts w:eastAsia="Calibri"/>
                <w:sz w:val="20"/>
                <w:szCs w:val="20"/>
              </w:rPr>
            </w:pPr>
          </w:p>
          <w:p w14:paraId="25179ABA" w14:textId="77777777" w:rsidR="001B2F93" w:rsidRPr="001B2F93" w:rsidRDefault="001B2F93" w:rsidP="001414F5">
            <w:pPr>
              <w:contextualSpacing/>
              <w:jc w:val="both"/>
              <w:rPr>
                <w:rFonts w:eastAsia="Calibri"/>
                <w:sz w:val="20"/>
                <w:szCs w:val="20"/>
                <w:u w:val="single"/>
              </w:rPr>
            </w:pPr>
            <w:r w:rsidRPr="001B2F93">
              <w:rPr>
                <w:rFonts w:eastAsia="Calibri"/>
                <w:sz w:val="20"/>
                <w:szCs w:val="20"/>
                <w:u w:val="single"/>
              </w:rPr>
              <w:t>Requirement 1.1(b)</w:t>
            </w:r>
          </w:p>
          <w:p w14:paraId="15979C94" w14:textId="77777777" w:rsidR="001B2F93" w:rsidRPr="001B2F93" w:rsidRDefault="001B2F93" w:rsidP="001414F5">
            <w:pPr>
              <w:contextualSpacing/>
              <w:jc w:val="both"/>
              <w:rPr>
                <w:rFonts w:eastAsia="Calibri"/>
                <w:sz w:val="20"/>
                <w:szCs w:val="20"/>
              </w:rPr>
            </w:pPr>
            <w:r w:rsidRPr="001B2F93">
              <w:rPr>
                <w:rFonts w:eastAsia="Calibri"/>
                <w:sz w:val="20"/>
                <w:szCs w:val="20"/>
              </w:rPr>
              <w:t xml:space="preserve">The government is required to appoint a senior individual to lead the implementation of the EITI. The appointee should have the confidence of all stakeholders, the authority, and the freedom to coordinate action on the EITI across relevant ministries and agencies and mobilize resources for EITI implementation. </w:t>
            </w:r>
          </w:p>
          <w:p w14:paraId="745E866C" w14:textId="77777777" w:rsidR="001B2F93" w:rsidRPr="001B2F93" w:rsidRDefault="001B2F93" w:rsidP="001414F5">
            <w:pPr>
              <w:contextualSpacing/>
              <w:jc w:val="both"/>
              <w:rPr>
                <w:rFonts w:eastAsia="Calibri"/>
                <w:sz w:val="20"/>
                <w:szCs w:val="20"/>
              </w:rPr>
            </w:pPr>
          </w:p>
          <w:p w14:paraId="6957C0F6" w14:textId="77777777" w:rsidR="001B2F93" w:rsidRPr="001B2F93" w:rsidRDefault="001B2F93" w:rsidP="001414F5">
            <w:pPr>
              <w:contextualSpacing/>
              <w:jc w:val="both"/>
              <w:rPr>
                <w:rFonts w:eastAsia="Calibri"/>
                <w:sz w:val="20"/>
                <w:szCs w:val="20"/>
                <w:u w:val="single"/>
              </w:rPr>
            </w:pPr>
            <w:r w:rsidRPr="001B2F93">
              <w:rPr>
                <w:rFonts w:eastAsia="Calibri"/>
                <w:sz w:val="20"/>
                <w:szCs w:val="20"/>
                <w:u w:val="single"/>
              </w:rPr>
              <w:t>Requirement 1.1(c)</w:t>
            </w:r>
          </w:p>
          <w:p w14:paraId="66929493" w14:textId="77777777" w:rsidR="001B2F93" w:rsidRPr="001B2F93" w:rsidRDefault="001B2F93" w:rsidP="001414F5">
            <w:pPr>
              <w:contextualSpacing/>
              <w:jc w:val="both"/>
              <w:rPr>
                <w:rFonts w:eastAsia="Calibri"/>
                <w:sz w:val="20"/>
                <w:szCs w:val="20"/>
              </w:rPr>
            </w:pPr>
            <w:r w:rsidRPr="001B2F93">
              <w:rPr>
                <w:rFonts w:eastAsia="Calibri"/>
                <w:sz w:val="20"/>
                <w:szCs w:val="20"/>
              </w:rPr>
              <w:t xml:space="preserve">The government must be fully, actively, and effectively engaged in the EITI process. </w:t>
            </w:r>
          </w:p>
          <w:p w14:paraId="205ACB3B" w14:textId="77777777" w:rsidR="001B2F93" w:rsidRPr="001B2F93" w:rsidRDefault="001B2F93" w:rsidP="001414F5">
            <w:pPr>
              <w:contextualSpacing/>
              <w:jc w:val="both"/>
              <w:rPr>
                <w:rFonts w:eastAsia="Calibri"/>
                <w:sz w:val="20"/>
                <w:szCs w:val="20"/>
                <w:u w:val="single"/>
              </w:rPr>
            </w:pPr>
          </w:p>
          <w:p w14:paraId="56336BA0" w14:textId="77777777" w:rsidR="001B2F93" w:rsidRPr="001B2F93" w:rsidRDefault="001B2F93" w:rsidP="001414F5">
            <w:pPr>
              <w:contextualSpacing/>
              <w:jc w:val="both"/>
              <w:rPr>
                <w:rFonts w:eastAsia="Calibri"/>
                <w:sz w:val="20"/>
                <w:szCs w:val="20"/>
                <w:u w:val="single"/>
              </w:rPr>
            </w:pPr>
            <w:r w:rsidRPr="001B2F93">
              <w:rPr>
                <w:rFonts w:eastAsia="Calibri"/>
                <w:sz w:val="20"/>
                <w:szCs w:val="20"/>
                <w:u w:val="single"/>
              </w:rPr>
              <w:t>Requirement 1.1 (d)</w:t>
            </w:r>
          </w:p>
          <w:p w14:paraId="0DB4C720" w14:textId="77777777" w:rsidR="001B2F93" w:rsidRPr="001B2F93" w:rsidRDefault="001B2F93" w:rsidP="001414F5">
            <w:pPr>
              <w:contextualSpacing/>
              <w:jc w:val="both"/>
              <w:rPr>
                <w:rFonts w:eastAsia="Calibri"/>
                <w:sz w:val="20"/>
                <w:szCs w:val="20"/>
                <w:u w:val="single"/>
              </w:rPr>
            </w:pPr>
            <w:r w:rsidRPr="001B2F93">
              <w:rPr>
                <w:rFonts w:eastAsia="Calibri"/>
                <w:sz w:val="20"/>
                <w:szCs w:val="20"/>
              </w:rPr>
              <w:t>The government must ensure that senior government officials are represented in the multi-stakeholder group.</w:t>
            </w:r>
          </w:p>
        </w:tc>
        <w:tc>
          <w:tcPr>
            <w:tcW w:w="5400" w:type="dxa"/>
          </w:tcPr>
          <w:p w14:paraId="6B47BC9D" w14:textId="2EAC78A5" w:rsidR="001B2F93" w:rsidRPr="001B2F93" w:rsidRDefault="001B2F93" w:rsidP="001414F5">
            <w:pPr>
              <w:contextualSpacing/>
              <w:jc w:val="both"/>
              <w:rPr>
                <w:rFonts w:eastAsia="Calibri"/>
                <w:sz w:val="20"/>
                <w:szCs w:val="20"/>
              </w:rPr>
            </w:pPr>
            <w:r w:rsidRPr="001B2F93">
              <w:rPr>
                <w:rFonts w:eastAsia="Calibri"/>
                <w:sz w:val="20"/>
                <w:szCs w:val="20"/>
              </w:rPr>
              <w:t xml:space="preserve">The Government of Guyana remains committed to the EITI process in Guyana. The 2025 national budget speech ( para 4.26) </w:t>
            </w:r>
            <w:hyperlink r:id="rId24" w:history="1">
              <w:r w:rsidR="00E10C06" w:rsidRPr="00E10C06">
                <w:rPr>
                  <w:color w:val="0000FF"/>
                  <w:sz w:val="24"/>
                  <w:szCs w:val="24"/>
                  <w:u w:val="single"/>
                </w:rPr>
                <w:t>Budget_Speech_2025.pdf</w:t>
              </w:r>
            </w:hyperlink>
            <w:r w:rsidRPr="00E10C06">
              <w:rPr>
                <w:rFonts w:eastAsia="Calibri"/>
                <w:sz w:val="20"/>
                <w:szCs w:val="20"/>
              </w:rPr>
              <w:t>)</w:t>
            </w:r>
            <w:r w:rsidR="001A4432">
              <w:rPr>
                <w:rFonts w:eastAsia="Calibri"/>
                <w:sz w:val="20"/>
                <w:szCs w:val="20"/>
              </w:rPr>
              <w:t xml:space="preserve"> </w:t>
            </w:r>
            <w:r w:rsidRPr="001B2F93">
              <w:rPr>
                <w:rFonts w:eastAsia="Calibri"/>
                <w:sz w:val="20"/>
                <w:szCs w:val="20"/>
              </w:rPr>
              <w:t>referenced the work of the GYEITI; the publication of Guyana’s EITI annual report and its commitment in maintaining its global standing on transparency in the sector.</w:t>
            </w:r>
          </w:p>
          <w:p w14:paraId="3A1BB066" w14:textId="77777777" w:rsidR="001B2F93" w:rsidRPr="001B2F93" w:rsidRDefault="001B2F93" w:rsidP="001414F5">
            <w:pPr>
              <w:contextualSpacing/>
              <w:jc w:val="both"/>
              <w:rPr>
                <w:rFonts w:eastAsia="Calibri"/>
                <w:sz w:val="20"/>
                <w:szCs w:val="20"/>
              </w:rPr>
            </w:pPr>
            <w:r w:rsidRPr="001B2F93">
              <w:rPr>
                <w:rFonts w:eastAsia="Calibri"/>
                <w:sz w:val="20"/>
                <w:szCs w:val="20"/>
              </w:rPr>
              <w:t>The EITI Champion, the Hon Vickram Bharrat, Minister of Natural Resources (M.P.) in his charge to the newly established Multi- stakeholders’ Group of the GYEITI at its 79</w:t>
            </w:r>
            <w:r w:rsidRPr="001B2F93">
              <w:rPr>
                <w:rFonts w:eastAsia="Calibri"/>
                <w:sz w:val="20"/>
                <w:szCs w:val="20"/>
                <w:vertAlign w:val="superscript"/>
              </w:rPr>
              <w:t>th</w:t>
            </w:r>
            <w:r w:rsidRPr="001B2F93">
              <w:rPr>
                <w:rFonts w:eastAsia="Calibri"/>
                <w:sz w:val="20"/>
                <w:szCs w:val="20"/>
              </w:rPr>
              <w:t xml:space="preserve"> Meeting in August 2025 underscored the GOG commitment to the EITI process. He reiterated the GOG and the Ministry of Natural Resources unwavering support to transparency and the work of the GYEITI.</w:t>
            </w:r>
          </w:p>
          <w:p w14:paraId="534AF91E" w14:textId="77777777" w:rsidR="001B2F93" w:rsidRPr="001B2F93" w:rsidRDefault="001B2F93" w:rsidP="001414F5">
            <w:pPr>
              <w:contextualSpacing/>
              <w:jc w:val="both"/>
              <w:rPr>
                <w:rFonts w:eastAsia="Calibri"/>
                <w:sz w:val="20"/>
                <w:szCs w:val="20"/>
              </w:rPr>
            </w:pPr>
          </w:p>
          <w:p w14:paraId="7E43D959" w14:textId="77777777" w:rsidR="001B2F93" w:rsidRPr="001B2F93" w:rsidRDefault="001B2F93" w:rsidP="001414F5">
            <w:pPr>
              <w:ind w:left="720"/>
              <w:contextualSpacing/>
              <w:jc w:val="both"/>
              <w:rPr>
                <w:rFonts w:eastAsia="Calibri"/>
                <w:color w:val="FF0000"/>
                <w:sz w:val="20"/>
                <w:szCs w:val="20"/>
              </w:rPr>
            </w:pPr>
          </w:p>
          <w:p w14:paraId="0BF6294A" w14:textId="77777777" w:rsidR="001B2F93" w:rsidRPr="001B2F93" w:rsidRDefault="001B2F93" w:rsidP="001414F5">
            <w:pPr>
              <w:contextualSpacing/>
              <w:jc w:val="both"/>
              <w:rPr>
                <w:rFonts w:eastAsia="Calibri"/>
                <w:sz w:val="20"/>
                <w:szCs w:val="20"/>
              </w:rPr>
            </w:pPr>
            <w:r w:rsidRPr="001B2F93">
              <w:rPr>
                <w:rFonts w:eastAsia="Calibri"/>
                <w:sz w:val="20"/>
                <w:szCs w:val="20"/>
              </w:rPr>
              <w:t xml:space="preserve">The EITI Champion with support from the National Coordinator   is fully and actively engaged in the GYEITI implementation. </w:t>
            </w:r>
          </w:p>
          <w:p w14:paraId="7D9ABC65" w14:textId="0B01A9FE" w:rsidR="001B2F93" w:rsidRPr="001B2F93" w:rsidRDefault="001B2F93" w:rsidP="001414F5">
            <w:pPr>
              <w:contextualSpacing/>
              <w:jc w:val="both"/>
              <w:rPr>
                <w:rFonts w:eastAsia="Calibri"/>
                <w:sz w:val="20"/>
                <w:szCs w:val="20"/>
              </w:rPr>
            </w:pPr>
            <w:r w:rsidRPr="001B2F93">
              <w:rPr>
                <w:rFonts w:eastAsia="Calibri"/>
                <w:sz w:val="20"/>
                <w:szCs w:val="20"/>
              </w:rPr>
              <w:t xml:space="preserve">Government’s representation on the MSG comprised senior officials from various Ministries and government entities  </w:t>
            </w:r>
          </w:p>
          <w:p w14:paraId="343A5798" w14:textId="77777777" w:rsidR="001B2F93" w:rsidRPr="001B2F93" w:rsidRDefault="001B2F93" w:rsidP="001414F5">
            <w:pPr>
              <w:contextualSpacing/>
              <w:jc w:val="both"/>
              <w:rPr>
                <w:rFonts w:eastAsia="Calibri"/>
                <w:sz w:val="20"/>
                <w:szCs w:val="20"/>
              </w:rPr>
            </w:pPr>
            <w:r w:rsidRPr="001B2F93">
              <w:rPr>
                <w:rFonts w:eastAsia="Calibri"/>
                <w:sz w:val="20"/>
                <w:szCs w:val="20"/>
              </w:rPr>
              <w:t xml:space="preserve">There are four primary members and four alternates that serve on the MSG and in the various Committees of the MSG. The government’s current representatives on the MSG are from the Ministry of Finance, Ministry of Natural Resources, Office of the Prime Minister, Guyana Revenue Authority, the Ministry of Parliamentary Affairs and Governance. </w:t>
            </w:r>
          </w:p>
          <w:p w14:paraId="3D3F2116" w14:textId="77777777" w:rsidR="001B2F93" w:rsidRPr="001B2F93" w:rsidRDefault="001B2F93" w:rsidP="001414F5">
            <w:pPr>
              <w:contextualSpacing/>
              <w:jc w:val="both"/>
              <w:rPr>
                <w:rFonts w:eastAsia="Calibri"/>
                <w:strike/>
                <w:color w:val="FF0000"/>
                <w:sz w:val="20"/>
                <w:szCs w:val="20"/>
              </w:rPr>
            </w:pPr>
          </w:p>
          <w:p w14:paraId="22FDDF04" w14:textId="3B21FBD8" w:rsidR="001B2F93" w:rsidRPr="004443A2" w:rsidRDefault="003A41FF" w:rsidP="00F059FE">
            <w:pPr>
              <w:contextualSpacing/>
              <w:jc w:val="both"/>
              <w:rPr>
                <w:rFonts w:eastAsia="Calibri"/>
                <w:b/>
                <w:bCs/>
                <w:sz w:val="20"/>
                <w:szCs w:val="20"/>
              </w:rPr>
            </w:pPr>
            <w:r w:rsidRPr="004443A2">
              <w:rPr>
                <w:rFonts w:eastAsia="Calibri"/>
                <w:b/>
                <w:bCs/>
                <w:sz w:val="20"/>
                <w:szCs w:val="20"/>
              </w:rPr>
              <w:t>The Government’s average attendance score for 2025 was 2.8 out of a maximum of 3, where 3 represents 100% attendance.</w:t>
            </w:r>
          </w:p>
        </w:tc>
      </w:tr>
      <w:tr w:rsidR="001B2F93" w:rsidRPr="001B2F93" w14:paraId="754BA50C" w14:textId="77777777" w:rsidTr="00A74514">
        <w:tc>
          <w:tcPr>
            <w:tcW w:w="4495" w:type="dxa"/>
          </w:tcPr>
          <w:p w14:paraId="314F831B" w14:textId="77777777" w:rsidR="001B2F93" w:rsidRPr="001B2F93" w:rsidRDefault="001B2F93" w:rsidP="001414F5">
            <w:pPr>
              <w:contextualSpacing/>
              <w:jc w:val="both"/>
              <w:rPr>
                <w:rFonts w:eastAsia="Calibri"/>
                <w:b/>
                <w:sz w:val="20"/>
                <w:szCs w:val="20"/>
                <w:u w:val="single"/>
              </w:rPr>
            </w:pPr>
            <w:r w:rsidRPr="001B2F93">
              <w:rPr>
                <w:rFonts w:eastAsia="Calibri"/>
                <w:b/>
                <w:sz w:val="20"/>
                <w:szCs w:val="20"/>
                <w:u w:val="single"/>
              </w:rPr>
              <w:t xml:space="preserve">Details from score card </w:t>
            </w:r>
          </w:p>
          <w:p w14:paraId="52657C93" w14:textId="77777777" w:rsidR="001B2F93" w:rsidRPr="001B2F93" w:rsidRDefault="001B2F93" w:rsidP="001414F5">
            <w:pPr>
              <w:contextualSpacing/>
              <w:jc w:val="both"/>
              <w:rPr>
                <w:rFonts w:eastAsia="Calibri"/>
                <w:b/>
                <w:sz w:val="20"/>
                <w:szCs w:val="20"/>
                <w:u w:val="single"/>
              </w:rPr>
            </w:pPr>
            <w:r w:rsidRPr="001B2F93">
              <w:rPr>
                <w:rFonts w:eastAsia="Calibri"/>
                <w:b/>
                <w:sz w:val="20"/>
                <w:szCs w:val="20"/>
                <w:u w:val="single"/>
              </w:rPr>
              <w:t>1.2 Company engagement.</w:t>
            </w:r>
          </w:p>
          <w:p w14:paraId="1A68EC7F" w14:textId="77777777" w:rsidR="001B2F93" w:rsidRPr="001B2F93" w:rsidRDefault="001B2F93" w:rsidP="001414F5">
            <w:pPr>
              <w:contextualSpacing/>
              <w:jc w:val="both"/>
              <w:rPr>
                <w:rFonts w:eastAsia="Calibri"/>
                <w:b/>
                <w:sz w:val="20"/>
                <w:szCs w:val="20"/>
                <w:u w:val="single"/>
              </w:rPr>
            </w:pPr>
          </w:p>
          <w:p w14:paraId="4645767D" w14:textId="77777777" w:rsidR="001B2F93" w:rsidRPr="001B2F93" w:rsidRDefault="001B2F93" w:rsidP="001414F5">
            <w:pPr>
              <w:contextualSpacing/>
              <w:jc w:val="both"/>
              <w:rPr>
                <w:rFonts w:eastAsia="Calibri"/>
                <w:sz w:val="20"/>
                <w:szCs w:val="20"/>
                <w:u w:val="single"/>
              </w:rPr>
            </w:pPr>
            <w:r w:rsidRPr="001B2F93">
              <w:rPr>
                <w:rFonts w:eastAsia="Calibri"/>
                <w:sz w:val="20"/>
                <w:szCs w:val="20"/>
                <w:u w:val="single"/>
              </w:rPr>
              <w:t>Requirement 1.2 (a)</w:t>
            </w:r>
          </w:p>
          <w:p w14:paraId="71DF75A5" w14:textId="77777777" w:rsidR="001B2F93" w:rsidRPr="001B2F93" w:rsidRDefault="001B2F93" w:rsidP="001414F5">
            <w:pPr>
              <w:contextualSpacing/>
              <w:jc w:val="both"/>
              <w:rPr>
                <w:rFonts w:eastAsia="Calibri"/>
                <w:sz w:val="20"/>
                <w:szCs w:val="20"/>
              </w:rPr>
            </w:pPr>
            <w:r w:rsidRPr="001B2F93">
              <w:rPr>
                <w:rFonts w:eastAsia="Calibri"/>
                <w:sz w:val="20"/>
                <w:szCs w:val="20"/>
              </w:rPr>
              <w:t xml:space="preserve">Companies must be fully, actively, and effectively engaged in the EITI process. </w:t>
            </w:r>
          </w:p>
          <w:p w14:paraId="24B12BC9" w14:textId="77777777" w:rsidR="001B2F93" w:rsidRPr="001B2F93" w:rsidRDefault="001B2F93" w:rsidP="001414F5">
            <w:pPr>
              <w:contextualSpacing/>
              <w:jc w:val="both"/>
              <w:rPr>
                <w:rFonts w:eastAsia="Calibri"/>
                <w:sz w:val="20"/>
                <w:szCs w:val="20"/>
              </w:rPr>
            </w:pPr>
          </w:p>
          <w:p w14:paraId="3BE986C7" w14:textId="77777777" w:rsidR="001B2F93" w:rsidRPr="001B2F93" w:rsidRDefault="001B2F93" w:rsidP="001414F5">
            <w:pPr>
              <w:contextualSpacing/>
              <w:jc w:val="both"/>
              <w:rPr>
                <w:rFonts w:eastAsia="Calibri"/>
                <w:sz w:val="20"/>
                <w:szCs w:val="20"/>
                <w:u w:val="single"/>
              </w:rPr>
            </w:pPr>
            <w:r w:rsidRPr="001B2F93">
              <w:rPr>
                <w:rFonts w:eastAsia="Calibri"/>
                <w:sz w:val="20"/>
                <w:szCs w:val="20"/>
                <w:u w:val="single"/>
              </w:rPr>
              <w:t>Requirement 1.2 (b)</w:t>
            </w:r>
          </w:p>
          <w:p w14:paraId="08E44215" w14:textId="77777777" w:rsidR="001B2F93" w:rsidRPr="001B2F93" w:rsidRDefault="001B2F93" w:rsidP="001414F5">
            <w:pPr>
              <w:contextualSpacing/>
              <w:jc w:val="both"/>
              <w:rPr>
                <w:rFonts w:eastAsia="Calibri"/>
                <w:sz w:val="20"/>
                <w:szCs w:val="20"/>
              </w:rPr>
            </w:pPr>
            <w:r w:rsidRPr="001B2F93">
              <w:rPr>
                <w:rFonts w:eastAsia="Calibri"/>
                <w:sz w:val="20"/>
                <w:szCs w:val="20"/>
              </w:rPr>
              <w:t>The government must ensure an enabling environment for company participation concerning relevant laws, regulations, administrative rules, and actual practice in implementing the EITI.  The fundamental rights of company representatives substantively engaged in the EITI, including but not restricted to multi-stakeholder group members, must be respected.</w:t>
            </w:r>
          </w:p>
          <w:p w14:paraId="37C7E58A" w14:textId="77777777" w:rsidR="001B2F93" w:rsidRPr="001B2F93" w:rsidRDefault="001B2F93" w:rsidP="001414F5">
            <w:pPr>
              <w:contextualSpacing/>
              <w:jc w:val="both"/>
              <w:rPr>
                <w:rFonts w:eastAsia="Calibri"/>
                <w:sz w:val="20"/>
                <w:szCs w:val="20"/>
                <w:u w:val="single"/>
              </w:rPr>
            </w:pPr>
            <w:r w:rsidRPr="001B2F93">
              <w:rPr>
                <w:rFonts w:eastAsia="Calibri"/>
                <w:sz w:val="20"/>
                <w:szCs w:val="20"/>
                <w:u w:val="single"/>
              </w:rPr>
              <w:t>Requirement 1.2 (c)</w:t>
            </w:r>
          </w:p>
          <w:p w14:paraId="0ABDA4AB" w14:textId="77777777" w:rsidR="001B2F93" w:rsidRPr="001B2F93" w:rsidRDefault="001B2F93" w:rsidP="001414F5">
            <w:pPr>
              <w:contextualSpacing/>
              <w:jc w:val="both"/>
              <w:rPr>
                <w:rFonts w:eastAsia="Calibri"/>
                <w:sz w:val="20"/>
                <w:szCs w:val="20"/>
              </w:rPr>
            </w:pPr>
            <w:r w:rsidRPr="001B2F93">
              <w:rPr>
                <w:rFonts w:eastAsia="Calibri"/>
                <w:sz w:val="20"/>
                <w:szCs w:val="20"/>
              </w:rPr>
              <w:t>The government must ensure no obstacles to company participation in the EITI process.</w:t>
            </w:r>
          </w:p>
        </w:tc>
        <w:tc>
          <w:tcPr>
            <w:tcW w:w="5400" w:type="dxa"/>
          </w:tcPr>
          <w:p w14:paraId="2862FD2E" w14:textId="77777777" w:rsidR="001B2F93" w:rsidRPr="001B2F93" w:rsidRDefault="001B2F93" w:rsidP="001414F5">
            <w:pPr>
              <w:ind w:left="720"/>
              <w:contextualSpacing/>
              <w:jc w:val="both"/>
              <w:rPr>
                <w:rFonts w:eastAsia="Calibri"/>
                <w:sz w:val="20"/>
                <w:szCs w:val="20"/>
              </w:rPr>
            </w:pPr>
          </w:p>
          <w:p w14:paraId="78978501" w14:textId="77777777" w:rsidR="001B2F93" w:rsidRPr="001B2F93" w:rsidRDefault="001B2F93" w:rsidP="001414F5">
            <w:pPr>
              <w:contextualSpacing/>
              <w:jc w:val="both"/>
              <w:rPr>
                <w:rFonts w:eastAsia="Calibri"/>
                <w:sz w:val="20"/>
                <w:szCs w:val="20"/>
              </w:rPr>
            </w:pPr>
            <w:r w:rsidRPr="001B2F93">
              <w:rPr>
                <w:rFonts w:eastAsia="Calibri"/>
                <w:sz w:val="20"/>
                <w:szCs w:val="20"/>
              </w:rPr>
              <w:t xml:space="preserve">Industry/companies representation is fully established on the MSG. There are four primary and four alternates members that serve on the MSG and on the various committees of the MSG.   The policy of rotation of chairmanship of the MSG every four months allows the Co-Chair of each constituency to serv as Chair of the MSG.  Membership is drawn mainly from companies active in the extractive sector namely the petroleum, mining and forestry sectors. </w:t>
            </w:r>
          </w:p>
          <w:p w14:paraId="67D67983" w14:textId="77777777" w:rsidR="001B2F93" w:rsidRPr="001B2F93" w:rsidRDefault="001B2F93" w:rsidP="001414F5">
            <w:pPr>
              <w:ind w:left="720"/>
              <w:contextualSpacing/>
              <w:jc w:val="both"/>
              <w:rPr>
                <w:rFonts w:eastAsia="Calibri"/>
                <w:sz w:val="20"/>
                <w:szCs w:val="20"/>
              </w:rPr>
            </w:pPr>
          </w:p>
          <w:p w14:paraId="2A008410" w14:textId="77777777" w:rsidR="001B2F93" w:rsidRPr="001B2F93" w:rsidRDefault="001B2F93" w:rsidP="001414F5">
            <w:pPr>
              <w:contextualSpacing/>
              <w:jc w:val="both"/>
              <w:rPr>
                <w:rFonts w:eastAsia="Calibri"/>
                <w:sz w:val="20"/>
                <w:szCs w:val="20"/>
              </w:rPr>
            </w:pPr>
            <w:r w:rsidRPr="001B2F93">
              <w:rPr>
                <w:rFonts w:eastAsia="Calibri"/>
                <w:sz w:val="20"/>
                <w:szCs w:val="20"/>
              </w:rPr>
              <w:t xml:space="preserve">Representation is drawn from senior executive, and senior-level managers. </w:t>
            </w:r>
          </w:p>
          <w:p w14:paraId="70D71BBF" w14:textId="77777777" w:rsidR="001B2F93" w:rsidRPr="001B2F93" w:rsidRDefault="001B2F93" w:rsidP="001414F5">
            <w:pPr>
              <w:contextualSpacing/>
              <w:jc w:val="both"/>
              <w:rPr>
                <w:rFonts w:eastAsia="Calibri"/>
                <w:sz w:val="20"/>
                <w:szCs w:val="20"/>
              </w:rPr>
            </w:pPr>
            <w:r w:rsidRPr="001B2F93">
              <w:rPr>
                <w:rFonts w:eastAsia="Calibri"/>
                <w:sz w:val="20"/>
                <w:szCs w:val="20"/>
              </w:rPr>
              <w:t>The sector’s participation was well documented through the minutes of the meetings.</w:t>
            </w:r>
          </w:p>
          <w:p w14:paraId="07506899" w14:textId="77777777" w:rsidR="001B2F93" w:rsidRPr="001B2F93" w:rsidRDefault="001B2F93" w:rsidP="001414F5">
            <w:pPr>
              <w:contextualSpacing/>
              <w:jc w:val="both"/>
              <w:rPr>
                <w:rFonts w:eastAsia="Calibri"/>
                <w:sz w:val="20"/>
                <w:szCs w:val="20"/>
              </w:rPr>
            </w:pPr>
            <w:r w:rsidRPr="001B2F93">
              <w:rPr>
                <w:rFonts w:eastAsia="Calibri"/>
                <w:sz w:val="20"/>
                <w:szCs w:val="20"/>
              </w:rPr>
              <w:t xml:space="preserve">The GYEITI Policy Manual provides clear guidance on the roles, functions of members and of the operations of the MSG. </w:t>
            </w:r>
          </w:p>
          <w:p w14:paraId="44E7FBEB" w14:textId="77777777" w:rsidR="00E10C06" w:rsidRDefault="001B2F93" w:rsidP="001414F5">
            <w:pPr>
              <w:contextualSpacing/>
              <w:jc w:val="both"/>
              <w:rPr>
                <w:rFonts w:eastAsia="Calibri"/>
                <w:sz w:val="20"/>
                <w:szCs w:val="20"/>
              </w:rPr>
            </w:pPr>
            <w:r w:rsidRPr="00E10C06">
              <w:rPr>
                <w:rFonts w:eastAsia="Calibri"/>
                <w:sz w:val="20"/>
                <w:szCs w:val="20"/>
              </w:rPr>
              <w:t xml:space="preserve">There is no hinderance to members participation. </w:t>
            </w:r>
          </w:p>
          <w:p w14:paraId="4002FA9E" w14:textId="77777777" w:rsidR="00E10C06" w:rsidRDefault="00E10C06" w:rsidP="001414F5">
            <w:pPr>
              <w:contextualSpacing/>
              <w:jc w:val="both"/>
              <w:rPr>
                <w:rFonts w:eastAsia="Calibri"/>
                <w:sz w:val="20"/>
                <w:szCs w:val="20"/>
              </w:rPr>
            </w:pPr>
          </w:p>
          <w:p w14:paraId="32C972F3" w14:textId="45047889" w:rsidR="00B206AA" w:rsidRPr="004443A2" w:rsidRDefault="00B206AA" w:rsidP="001414F5">
            <w:pPr>
              <w:contextualSpacing/>
              <w:jc w:val="both"/>
              <w:rPr>
                <w:rFonts w:eastAsia="Calibri"/>
                <w:b/>
                <w:bCs/>
                <w:sz w:val="20"/>
                <w:szCs w:val="20"/>
              </w:rPr>
            </w:pPr>
            <w:r w:rsidRPr="004443A2">
              <w:rPr>
                <w:rFonts w:eastAsia="Calibri"/>
                <w:b/>
                <w:bCs/>
                <w:sz w:val="20"/>
                <w:szCs w:val="20"/>
              </w:rPr>
              <w:t>The industry’s average attendance score for 2025 was 2.7 out of a maximum of 3, where 3 represents 100% attendance.</w:t>
            </w:r>
          </w:p>
        </w:tc>
      </w:tr>
      <w:tr w:rsidR="001B2F93" w:rsidRPr="001B2F93" w14:paraId="5BD53DC1" w14:textId="77777777" w:rsidTr="00A74514">
        <w:tc>
          <w:tcPr>
            <w:tcW w:w="4495" w:type="dxa"/>
          </w:tcPr>
          <w:p w14:paraId="7207B637" w14:textId="77777777" w:rsidR="001B2F93" w:rsidRPr="001B2F93" w:rsidRDefault="001B2F93" w:rsidP="001414F5">
            <w:pPr>
              <w:contextualSpacing/>
              <w:jc w:val="both"/>
              <w:rPr>
                <w:rFonts w:eastAsia="Calibri"/>
                <w:b/>
                <w:sz w:val="20"/>
                <w:szCs w:val="20"/>
                <w:u w:val="single"/>
              </w:rPr>
            </w:pPr>
            <w:r w:rsidRPr="001B2F93">
              <w:rPr>
                <w:rFonts w:eastAsia="Calibri"/>
                <w:b/>
                <w:sz w:val="20"/>
                <w:szCs w:val="20"/>
                <w:u w:val="single"/>
              </w:rPr>
              <w:t>1.3 Civil Society Engagement</w:t>
            </w:r>
          </w:p>
          <w:p w14:paraId="2CE65BBC" w14:textId="77777777" w:rsidR="001B2F93" w:rsidRPr="001B2F93" w:rsidRDefault="001B2F93" w:rsidP="001414F5">
            <w:pPr>
              <w:contextualSpacing/>
              <w:jc w:val="both"/>
              <w:rPr>
                <w:rFonts w:eastAsia="Calibri"/>
                <w:sz w:val="20"/>
                <w:szCs w:val="20"/>
              </w:rPr>
            </w:pPr>
          </w:p>
          <w:p w14:paraId="1C5A0999" w14:textId="77777777" w:rsidR="001B2F93" w:rsidRPr="001B2F93" w:rsidRDefault="001B2F93" w:rsidP="001414F5">
            <w:pPr>
              <w:contextualSpacing/>
              <w:jc w:val="both"/>
              <w:rPr>
                <w:rFonts w:eastAsia="Calibri"/>
                <w:sz w:val="20"/>
                <w:szCs w:val="20"/>
                <w:u w:val="single"/>
              </w:rPr>
            </w:pPr>
            <w:r w:rsidRPr="001B2F93">
              <w:rPr>
                <w:rFonts w:eastAsia="Calibri"/>
                <w:sz w:val="20"/>
                <w:szCs w:val="20"/>
                <w:u w:val="single"/>
              </w:rPr>
              <w:t>Requirement 1.3 (a)</w:t>
            </w:r>
          </w:p>
          <w:p w14:paraId="452F054E" w14:textId="77777777" w:rsidR="001B2F93" w:rsidRPr="001B2F93" w:rsidRDefault="001B2F93" w:rsidP="001414F5">
            <w:pPr>
              <w:contextualSpacing/>
              <w:jc w:val="both"/>
              <w:rPr>
                <w:rFonts w:eastAsia="Calibri"/>
                <w:sz w:val="20"/>
                <w:szCs w:val="20"/>
              </w:rPr>
            </w:pPr>
            <w:r w:rsidRPr="001B2F93">
              <w:rPr>
                <w:rFonts w:eastAsia="Calibri"/>
                <w:sz w:val="20"/>
                <w:szCs w:val="20"/>
              </w:rPr>
              <w:lastRenderedPageBreak/>
              <w:t>Civil society must be fully, actively, and effectively engaged in the EITI process.</w:t>
            </w:r>
          </w:p>
          <w:p w14:paraId="37EB4931" w14:textId="77777777" w:rsidR="001B2F93" w:rsidRPr="001B2F93" w:rsidRDefault="001B2F93" w:rsidP="001414F5">
            <w:pPr>
              <w:contextualSpacing/>
              <w:jc w:val="both"/>
              <w:rPr>
                <w:rFonts w:eastAsia="Calibri"/>
                <w:sz w:val="20"/>
                <w:szCs w:val="20"/>
                <w:u w:val="single"/>
              </w:rPr>
            </w:pPr>
          </w:p>
          <w:p w14:paraId="5863BE0E" w14:textId="77777777" w:rsidR="001B2F93" w:rsidRPr="001B2F93" w:rsidRDefault="001B2F93" w:rsidP="001414F5">
            <w:pPr>
              <w:contextualSpacing/>
              <w:jc w:val="both"/>
              <w:rPr>
                <w:rFonts w:eastAsia="Calibri"/>
                <w:sz w:val="20"/>
                <w:szCs w:val="20"/>
                <w:u w:val="single"/>
              </w:rPr>
            </w:pPr>
            <w:r w:rsidRPr="001B2F93">
              <w:rPr>
                <w:rFonts w:eastAsia="Calibri"/>
                <w:sz w:val="20"/>
                <w:szCs w:val="20"/>
                <w:u w:val="single"/>
              </w:rPr>
              <w:t>Requirement 1.3 (b)</w:t>
            </w:r>
          </w:p>
          <w:p w14:paraId="057F1673" w14:textId="77777777" w:rsidR="001B2F93" w:rsidRPr="001B2F93" w:rsidRDefault="001B2F93" w:rsidP="001414F5">
            <w:pPr>
              <w:contextualSpacing/>
              <w:jc w:val="both"/>
              <w:rPr>
                <w:rFonts w:eastAsia="Calibri"/>
                <w:sz w:val="20"/>
                <w:szCs w:val="20"/>
              </w:rPr>
            </w:pPr>
            <w:r w:rsidRPr="001B2F93">
              <w:rPr>
                <w:rFonts w:eastAsia="Calibri"/>
                <w:sz w:val="20"/>
                <w:szCs w:val="20"/>
              </w:rPr>
              <w:t>The government must ensure an enabling environment for civil society participation concerning relevant laws, regulations, administrative rules, and actual practice in implementing the EITI.  The fundamental rights of civil society substantively engaged in the EITI, including but not restricted to members of the multi-stakeholder group, must be respected.</w:t>
            </w:r>
          </w:p>
          <w:p w14:paraId="778CFAD0" w14:textId="77777777" w:rsidR="001B2F93" w:rsidRPr="001B2F93" w:rsidRDefault="001B2F93" w:rsidP="001414F5">
            <w:pPr>
              <w:contextualSpacing/>
              <w:jc w:val="both"/>
              <w:rPr>
                <w:rFonts w:eastAsia="Calibri"/>
                <w:sz w:val="20"/>
                <w:szCs w:val="20"/>
              </w:rPr>
            </w:pPr>
          </w:p>
          <w:p w14:paraId="767EF0E0" w14:textId="77777777" w:rsidR="001B2F93" w:rsidRPr="001B2F93" w:rsidRDefault="001B2F93" w:rsidP="001414F5">
            <w:pPr>
              <w:contextualSpacing/>
              <w:jc w:val="both"/>
              <w:rPr>
                <w:rFonts w:eastAsia="Calibri"/>
                <w:sz w:val="20"/>
                <w:szCs w:val="20"/>
                <w:u w:val="single"/>
              </w:rPr>
            </w:pPr>
          </w:p>
          <w:p w14:paraId="7EEBB031" w14:textId="77777777" w:rsidR="001B2F93" w:rsidRPr="001B2F93" w:rsidRDefault="001B2F93" w:rsidP="001414F5">
            <w:pPr>
              <w:contextualSpacing/>
              <w:jc w:val="both"/>
              <w:rPr>
                <w:rFonts w:eastAsia="Calibri"/>
                <w:sz w:val="20"/>
                <w:szCs w:val="20"/>
                <w:u w:val="single"/>
              </w:rPr>
            </w:pPr>
          </w:p>
          <w:p w14:paraId="32D33A84" w14:textId="77777777" w:rsidR="001B2F93" w:rsidRPr="001B2F93" w:rsidRDefault="001B2F93" w:rsidP="001414F5">
            <w:pPr>
              <w:contextualSpacing/>
              <w:jc w:val="both"/>
              <w:rPr>
                <w:rFonts w:eastAsia="Calibri"/>
                <w:sz w:val="20"/>
                <w:szCs w:val="20"/>
                <w:u w:val="single"/>
              </w:rPr>
            </w:pPr>
            <w:r w:rsidRPr="001B2F93">
              <w:rPr>
                <w:rFonts w:eastAsia="Calibri"/>
                <w:sz w:val="20"/>
                <w:szCs w:val="20"/>
                <w:u w:val="single"/>
              </w:rPr>
              <w:t>Requirement 1.3 (c)</w:t>
            </w:r>
          </w:p>
          <w:p w14:paraId="6C78B763" w14:textId="77777777" w:rsidR="001B2F93" w:rsidRPr="001B2F93" w:rsidRDefault="001B2F93" w:rsidP="001414F5">
            <w:pPr>
              <w:contextualSpacing/>
              <w:jc w:val="both"/>
              <w:rPr>
                <w:rFonts w:eastAsia="Calibri"/>
                <w:sz w:val="20"/>
                <w:szCs w:val="20"/>
              </w:rPr>
            </w:pPr>
            <w:r w:rsidRPr="001B2F93">
              <w:rPr>
                <w:rFonts w:eastAsia="Calibri"/>
                <w:sz w:val="20"/>
                <w:szCs w:val="20"/>
              </w:rPr>
              <w:t>The government must ensure no obstacles to civil society participation in the EITI process.</w:t>
            </w:r>
          </w:p>
          <w:p w14:paraId="6E203E35" w14:textId="77777777" w:rsidR="001B2F93" w:rsidRPr="001B2F93" w:rsidRDefault="001B2F93" w:rsidP="001414F5">
            <w:pPr>
              <w:contextualSpacing/>
              <w:jc w:val="both"/>
              <w:rPr>
                <w:rFonts w:eastAsia="Calibri"/>
                <w:sz w:val="20"/>
                <w:szCs w:val="20"/>
              </w:rPr>
            </w:pPr>
          </w:p>
          <w:p w14:paraId="65FF7129" w14:textId="77777777" w:rsidR="001B2F93" w:rsidRPr="001B2F93" w:rsidRDefault="001B2F93" w:rsidP="001414F5">
            <w:pPr>
              <w:contextualSpacing/>
              <w:jc w:val="both"/>
              <w:rPr>
                <w:rFonts w:eastAsia="Calibri"/>
                <w:sz w:val="20"/>
                <w:szCs w:val="20"/>
              </w:rPr>
            </w:pPr>
          </w:p>
          <w:p w14:paraId="13A5201E" w14:textId="77777777" w:rsidR="001B2F93" w:rsidRPr="001B2F93" w:rsidRDefault="001B2F93" w:rsidP="001414F5">
            <w:pPr>
              <w:spacing w:after="200"/>
              <w:contextualSpacing/>
              <w:jc w:val="both"/>
              <w:rPr>
                <w:rFonts w:eastAsia="Calibri"/>
                <w:sz w:val="20"/>
                <w:szCs w:val="20"/>
                <w:u w:val="single"/>
              </w:rPr>
            </w:pPr>
            <w:r w:rsidRPr="001B2F93">
              <w:rPr>
                <w:rFonts w:eastAsia="Calibri"/>
                <w:sz w:val="20"/>
                <w:szCs w:val="20"/>
                <w:u w:val="single"/>
              </w:rPr>
              <w:t>Requirement 1.3 (d)</w:t>
            </w:r>
          </w:p>
          <w:p w14:paraId="40CDD9CB" w14:textId="77777777" w:rsidR="001B2F93" w:rsidRPr="001B2F93" w:rsidRDefault="001B2F93" w:rsidP="001414F5">
            <w:pPr>
              <w:contextualSpacing/>
              <w:jc w:val="both"/>
              <w:rPr>
                <w:rFonts w:eastAsia="Calibri"/>
                <w:sz w:val="20"/>
                <w:szCs w:val="20"/>
              </w:rPr>
            </w:pPr>
            <w:r w:rsidRPr="001B2F93">
              <w:rPr>
                <w:rFonts w:eastAsia="Calibri"/>
                <w:sz w:val="20"/>
                <w:szCs w:val="20"/>
              </w:rPr>
              <w:t xml:space="preserve">The government must refrain from actions that narrow or restrict public debate concerning implementing the EITI. </w:t>
            </w:r>
          </w:p>
          <w:p w14:paraId="342911BF" w14:textId="77777777" w:rsidR="001B2F93" w:rsidRPr="001B2F93" w:rsidRDefault="001B2F93" w:rsidP="001414F5">
            <w:pPr>
              <w:contextualSpacing/>
              <w:jc w:val="both"/>
              <w:rPr>
                <w:rFonts w:eastAsia="Calibri"/>
                <w:sz w:val="20"/>
                <w:szCs w:val="20"/>
              </w:rPr>
            </w:pPr>
          </w:p>
          <w:p w14:paraId="269A8D6D" w14:textId="77777777" w:rsidR="001B2F93" w:rsidRPr="001B2F93" w:rsidRDefault="001B2F93" w:rsidP="001414F5">
            <w:pPr>
              <w:contextualSpacing/>
              <w:jc w:val="both"/>
              <w:rPr>
                <w:rFonts w:eastAsia="Calibri"/>
                <w:sz w:val="20"/>
                <w:szCs w:val="20"/>
              </w:rPr>
            </w:pPr>
            <w:r w:rsidRPr="001B2F93">
              <w:rPr>
                <w:rFonts w:eastAsia="Calibri"/>
                <w:sz w:val="20"/>
                <w:szCs w:val="20"/>
              </w:rPr>
              <w:t>Requirement 1.3 (e) Stakeholders, including but not limited to multi-stakeholder group members, must: I. Be able to speak freely on transparency and natural resource governance issues. ii. Be substantially engaged in the design, implementation, monitoring, and evaluation of the EITI process, and ensure that it contributes to public debate. iii. Have the right to communicate and cooperate. iv. Be able to freely express opinions about the EITI without restraint, coercion, or reprisal.</w:t>
            </w:r>
          </w:p>
        </w:tc>
        <w:tc>
          <w:tcPr>
            <w:tcW w:w="5400" w:type="dxa"/>
          </w:tcPr>
          <w:p w14:paraId="12305B8D" w14:textId="77777777" w:rsidR="001B2F93" w:rsidRPr="001B2F93" w:rsidRDefault="001B2F93" w:rsidP="001414F5">
            <w:pPr>
              <w:spacing w:after="200"/>
              <w:contextualSpacing/>
              <w:jc w:val="both"/>
              <w:rPr>
                <w:rFonts w:eastAsia="Calibri"/>
                <w:sz w:val="20"/>
                <w:szCs w:val="20"/>
              </w:rPr>
            </w:pPr>
            <w:r w:rsidRPr="001B2F93">
              <w:rPr>
                <w:rFonts w:eastAsia="Calibri"/>
                <w:sz w:val="20"/>
                <w:szCs w:val="20"/>
              </w:rPr>
              <w:lastRenderedPageBreak/>
              <w:t xml:space="preserve">Civil Society representation on the MSG and its participation is a critical and integral component of the MSG and the decision-making process. </w:t>
            </w:r>
          </w:p>
          <w:p w14:paraId="6434F89A" w14:textId="77777777" w:rsidR="001B2F93" w:rsidRPr="001B2F93" w:rsidRDefault="001B2F93" w:rsidP="001414F5">
            <w:pPr>
              <w:spacing w:after="200"/>
              <w:contextualSpacing/>
              <w:jc w:val="both"/>
              <w:rPr>
                <w:rFonts w:eastAsia="Calibri"/>
                <w:sz w:val="20"/>
                <w:szCs w:val="20"/>
              </w:rPr>
            </w:pPr>
            <w:r w:rsidRPr="001B2F93">
              <w:rPr>
                <w:rFonts w:eastAsia="Calibri"/>
                <w:sz w:val="20"/>
                <w:szCs w:val="20"/>
              </w:rPr>
              <w:lastRenderedPageBreak/>
              <w:t xml:space="preserve">Its contribution in all aspects of the work of the MSG, including the Chairing of the MSG, which is done on a rotation basis, allows for meaningful participation in decision-making.  </w:t>
            </w:r>
          </w:p>
          <w:p w14:paraId="5F32179E" w14:textId="77777777" w:rsidR="001B2F93" w:rsidRPr="001B2F93" w:rsidRDefault="001B2F93" w:rsidP="001414F5">
            <w:pPr>
              <w:spacing w:after="200"/>
              <w:contextualSpacing/>
              <w:jc w:val="both"/>
              <w:rPr>
                <w:rFonts w:eastAsia="Calibri"/>
                <w:sz w:val="20"/>
                <w:szCs w:val="20"/>
              </w:rPr>
            </w:pPr>
            <w:r w:rsidRPr="001B2F93">
              <w:rPr>
                <w:rFonts w:eastAsia="Calibri"/>
                <w:sz w:val="20"/>
                <w:szCs w:val="20"/>
              </w:rPr>
              <w:t>The GYEITI Policy Manual provides clear guidance on the roles, functions of members and the operations of the MSG.</w:t>
            </w:r>
          </w:p>
          <w:p w14:paraId="1FC0E2EA" w14:textId="77777777" w:rsidR="001B2F93" w:rsidRPr="001B2F93" w:rsidRDefault="001B2F93" w:rsidP="001414F5">
            <w:pPr>
              <w:ind w:left="720"/>
              <w:contextualSpacing/>
              <w:jc w:val="both"/>
              <w:rPr>
                <w:rFonts w:eastAsia="Calibri"/>
                <w:sz w:val="20"/>
                <w:szCs w:val="20"/>
              </w:rPr>
            </w:pPr>
            <w:r w:rsidRPr="001B2F93">
              <w:rPr>
                <w:rFonts w:eastAsia="Calibri"/>
                <w:sz w:val="20"/>
                <w:szCs w:val="20"/>
              </w:rPr>
              <w:t xml:space="preserve">.  </w:t>
            </w:r>
          </w:p>
          <w:p w14:paraId="45CDEEAB" w14:textId="77777777" w:rsidR="001B2F93" w:rsidRPr="001B2F93" w:rsidRDefault="001B2F93" w:rsidP="001414F5">
            <w:pPr>
              <w:contextualSpacing/>
              <w:jc w:val="both"/>
              <w:rPr>
                <w:rFonts w:eastAsia="Calibri"/>
                <w:sz w:val="20"/>
                <w:szCs w:val="20"/>
              </w:rPr>
            </w:pPr>
            <w:r w:rsidRPr="001B2F93">
              <w:rPr>
                <w:rFonts w:eastAsia="Calibri"/>
                <w:sz w:val="20"/>
                <w:szCs w:val="20"/>
              </w:rPr>
              <w:t xml:space="preserve">There is no hinderance in Civil Society participation and expression of their views and positions on the MSG. Civil Society, like the other constituencies is represented in every Committee of the MSG. </w:t>
            </w:r>
          </w:p>
          <w:p w14:paraId="0849F0CA" w14:textId="77777777" w:rsidR="001B2F93" w:rsidRPr="001B2F93" w:rsidRDefault="001B2F93" w:rsidP="001414F5">
            <w:pPr>
              <w:contextualSpacing/>
              <w:jc w:val="both"/>
              <w:rPr>
                <w:rFonts w:eastAsia="Calibri"/>
                <w:sz w:val="20"/>
                <w:szCs w:val="20"/>
              </w:rPr>
            </w:pPr>
          </w:p>
          <w:p w14:paraId="17A7209F" w14:textId="77777777" w:rsidR="001B2F93" w:rsidRPr="001B2F93" w:rsidRDefault="001B2F93" w:rsidP="001414F5">
            <w:pPr>
              <w:contextualSpacing/>
              <w:jc w:val="both"/>
              <w:rPr>
                <w:rFonts w:eastAsia="Calibri"/>
                <w:sz w:val="20"/>
                <w:szCs w:val="20"/>
              </w:rPr>
            </w:pPr>
            <w:r w:rsidRPr="001B2F93">
              <w:rPr>
                <w:rFonts w:eastAsia="Calibri"/>
                <w:sz w:val="20"/>
                <w:szCs w:val="20"/>
              </w:rPr>
              <w:t xml:space="preserve">Civil society is entirely, actively, and effectively engaged in designing, implementing, monitoring, and evaluating the EITI process. Members are  active and participated in outreach efforts to promote public debate, protest actions against industry for noncompliance as it relates to safeguarding the environment and on matters that affect the citizens of Guyana.  </w:t>
            </w:r>
          </w:p>
          <w:p w14:paraId="019B1FD3" w14:textId="77777777" w:rsidR="001B2F93" w:rsidRPr="00CE06FE" w:rsidRDefault="001B2F93" w:rsidP="001414F5">
            <w:pPr>
              <w:spacing w:after="200"/>
              <w:contextualSpacing/>
              <w:jc w:val="both"/>
              <w:rPr>
                <w:rFonts w:eastAsia="Calibri"/>
                <w:sz w:val="20"/>
                <w:szCs w:val="20"/>
              </w:rPr>
            </w:pPr>
            <w:r w:rsidRPr="001B2F93">
              <w:rPr>
                <w:rFonts w:eastAsia="Calibri"/>
                <w:sz w:val="20"/>
                <w:szCs w:val="20"/>
              </w:rPr>
              <w:t xml:space="preserve">There were no instance or occurrence where the government restricted or posed obstacles to civil society in 2025. Members openly and freely discuss matters on the extractive sector, and </w:t>
            </w:r>
            <w:r w:rsidRPr="00CE06FE">
              <w:rPr>
                <w:rFonts w:eastAsia="Calibri"/>
                <w:sz w:val="20"/>
                <w:szCs w:val="20"/>
              </w:rPr>
              <w:t xml:space="preserve">beyond.  </w:t>
            </w:r>
          </w:p>
          <w:p w14:paraId="3F568967" w14:textId="77777777" w:rsidR="00E220C9" w:rsidRDefault="00E220C9" w:rsidP="004C55CA">
            <w:pPr>
              <w:contextualSpacing/>
              <w:jc w:val="both"/>
              <w:rPr>
                <w:rFonts w:eastAsia="Calibri"/>
                <w:sz w:val="20"/>
                <w:szCs w:val="20"/>
              </w:rPr>
            </w:pPr>
          </w:p>
          <w:p w14:paraId="0C6D6556" w14:textId="3E50DDB7" w:rsidR="00E220C9" w:rsidRPr="004443A2" w:rsidRDefault="00E220C9" w:rsidP="004C55CA">
            <w:pPr>
              <w:contextualSpacing/>
              <w:jc w:val="both"/>
              <w:rPr>
                <w:rFonts w:eastAsia="Calibri"/>
                <w:b/>
                <w:bCs/>
                <w:sz w:val="20"/>
                <w:szCs w:val="20"/>
              </w:rPr>
            </w:pPr>
            <w:r w:rsidRPr="004443A2">
              <w:rPr>
                <w:rFonts w:eastAsia="Calibri"/>
                <w:b/>
                <w:bCs/>
                <w:sz w:val="20"/>
                <w:szCs w:val="20"/>
              </w:rPr>
              <w:t>The Civil Society’s average attendance score for 2025 was 2.8 out of a maximum of 3, where 3 represents 100% attendance.</w:t>
            </w:r>
          </w:p>
        </w:tc>
      </w:tr>
      <w:tr w:rsidR="001B2F93" w:rsidRPr="001B2F93" w14:paraId="64ED1B3F" w14:textId="77777777" w:rsidTr="00A74514">
        <w:tc>
          <w:tcPr>
            <w:tcW w:w="4495" w:type="dxa"/>
          </w:tcPr>
          <w:p w14:paraId="1EAEEC38" w14:textId="77777777" w:rsidR="001B2F93" w:rsidRPr="001B2F93" w:rsidRDefault="001B2F93" w:rsidP="001414F5">
            <w:pPr>
              <w:spacing w:after="200"/>
              <w:contextualSpacing/>
              <w:jc w:val="both"/>
              <w:rPr>
                <w:rFonts w:eastAsia="Calibri"/>
                <w:b/>
                <w:bCs/>
                <w:sz w:val="20"/>
                <w:szCs w:val="20"/>
                <w:u w:val="single"/>
              </w:rPr>
            </w:pPr>
            <w:r w:rsidRPr="001B2F93">
              <w:rPr>
                <w:rFonts w:eastAsia="Calibri"/>
                <w:b/>
                <w:bCs/>
                <w:sz w:val="20"/>
                <w:szCs w:val="20"/>
                <w:u w:val="single"/>
              </w:rPr>
              <w:lastRenderedPageBreak/>
              <w:t xml:space="preserve">Requirement (1.4) </w:t>
            </w:r>
          </w:p>
          <w:p w14:paraId="37A8ED12" w14:textId="77777777" w:rsidR="001B2F93" w:rsidRPr="001B2F93" w:rsidRDefault="001B2F93" w:rsidP="001414F5">
            <w:pPr>
              <w:contextualSpacing/>
              <w:jc w:val="both"/>
              <w:rPr>
                <w:rFonts w:eastAsia="Calibri"/>
                <w:b/>
                <w:bCs/>
                <w:sz w:val="20"/>
                <w:szCs w:val="20"/>
              </w:rPr>
            </w:pPr>
            <w:r w:rsidRPr="001B2F93">
              <w:rPr>
                <w:rFonts w:eastAsia="Calibri"/>
                <w:b/>
                <w:bCs/>
                <w:sz w:val="20"/>
                <w:szCs w:val="20"/>
              </w:rPr>
              <w:t xml:space="preserve">Multi-stakeholder group. </w:t>
            </w:r>
          </w:p>
          <w:p w14:paraId="669BA560" w14:textId="77777777" w:rsidR="001B2F93" w:rsidRPr="001B2F93" w:rsidRDefault="001B2F93" w:rsidP="001414F5">
            <w:pPr>
              <w:contextualSpacing/>
              <w:jc w:val="both"/>
              <w:rPr>
                <w:rFonts w:eastAsia="Calibri"/>
                <w:sz w:val="20"/>
                <w:szCs w:val="20"/>
              </w:rPr>
            </w:pPr>
            <w:r w:rsidRPr="001B2F93">
              <w:rPr>
                <w:rFonts w:eastAsia="Calibri"/>
                <w:b/>
                <w:bCs/>
                <w:sz w:val="20"/>
                <w:szCs w:val="20"/>
              </w:rPr>
              <w:t>a) The government must</w:t>
            </w:r>
            <w:r w:rsidRPr="001B2F93">
              <w:rPr>
                <w:rFonts w:eastAsia="Calibri"/>
                <w:sz w:val="20"/>
                <w:szCs w:val="20"/>
              </w:rPr>
              <w:t xml:space="preserve"> commit to working with civil society and companies and establish a multi-stakeholder group to oversee the implementation of the EITI. In establishing the multi-stakeholder group, the government must: </w:t>
            </w:r>
          </w:p>
          <w:p w14:paraId="7C244BE8" w14:textId="77777777" w:rsidR="001B2F93" w:rsidRPr="001B2F93" w:rsidRDefault="001B2F93" w:rsidP="001414F5">
            <w:pPr>
              <w:contextualSpacing/>
              <w:jc w:val="both"/>
              <w:rPr>
                <w:rFonts w:eastAsia="Calibri"/>
                <w:sz w:val="20"/>
                <w:szCs w:val="20"/>
              </w:rPr>
            </w:pPr>
          </w:p>
          <w:p w14:paraId="17810309" w14:textId="77777777" w:rsidR="001B2F93" w:rsidRPr="001B2F93" w:rsidRDefault="001B2F93" w:rsidP="001414F5">
            <w:pPr>
              <w:contextualSpacing/>
              <w:jc w:val="both"/>
              <w:rPr>
                <w:rFonts w:eastAsia="Calibri"/>
                <w:sz w:val="20"/>
                <w:szCs w:val="20"/>
              </w:rPr>
            </w:pPr>
            <w:r w:rsidRPr="001B2F93">
              <w:rPr>
                <w:rFonts w:eastAsia="Calibri"/>
                <w:sz w:val="20"/>
                <w:szCs w:val="20"/>
              </w:rPr>
              <w:t>I. Ensure that the invitation to participate in the group is open and transparent.</w:t>
            </w:r>
          </w:p>
          <w:p w14:paraId="4B5E3E92" w14:textId="77777777" w:rsidR="001B2F93" w:rsidRPr="001B2F93" w:rsidRDefault="001B2F93" w:rsidP="001414F5">
            <w:pPr>
              <w:contextualSpacing/>
              <w:jc w:val="both"/>
              <w:rPr>
                <w:rFonts w:eastAsia="Calibri"/>
                <w:sz w:val="20"/>
                <w:szCs w:val="20"/>
              </w:rPr>
            </w:pPr>
          </w:p>
          <w:p w14:paraId="799339C2" w14:textId="77777777" w:rsidR="001B2F93" w:rsidRPr="001B2F93" w:rsidRDefault="001B2F93" w:rsidP="001414F5">
            <w:pPr>
              <w:contextualSpacing/>
              <w:jc w:val="both"/>
              <w:rPr>
                <w:rFonts w:eastAsia="Calibri"/>
                <w:sz w:val="20"/>
                <w:szCs w:val="20"/>
              </w:rPr>
            </w:pPr>
            <w:r w:rsidRPr="001B2F93">
              <w:rPr>
                <w:rFonts w:eastAsia="Calibri"/>
                <w:sz w:val="20"/>
                <w:szCs w:val="20"/>
              </w:rPr>
              <w:t xml:space="preserve">ii. Ensure that stakeholders are adequately represented. This does not mean that they need to be equally represented numerically. The multi-stakeholder group must comprise appropriate stakeholders, including but not necessarily limited to: the private sector; civil society, including independent civil society groups and other civil society such as the media and unions; and relevant government entities, </w:t>
            </w:r>
            <w:r w:rsidRPr="001B2F93">
              <w:rPr>
                <w:rFonts w:eastAsia="Calibri"/>
                <w:sz w:val="20"/>
                <w:szCs w:val="20"/>
              </w:rPr>
              <w:lastRenderedPageBreak/>
              <w:t xml:space="preserve">which can also include parliamentarians.  Each stakeholder group must have the right to appoint its representatives, bearing in mind the desirability of pluralistic and diverse representation. The nomination process must be independent and free from any suggestion of coercion. Civil society groups involved in the EITI as multi-stakeholder group members must be operationally and, in policy terms, independent of government and/or companies. </w:t>
            </w:r>
          </w:p>
          <w:p w14:paraId="201BB5B3" w14:textId="77777777" w:rsidR="001B2F93" w:rsidRPr="001B2F93" w:rsidRDefault="001B2F93" w:rsidP="001414F5">
            <w:pPr>
              <w:contextualSpacing/>
              <w:jc w:val="both"/>
              <w:rPr>
                <w:rFonts w:eastAsia="Calibri"/>
                <w:sz w:val="20"/>
                <w:szCs w:val="20"/>
              </w:rPr>
            </w:pPr>
          </w:p>
          <w:p w14:paraId="62164EFF" w14:textId="77777777" w:rsidR="001B2F93" w:rsidRPr="001B2F93" w:rsidRDefault="001B2F93" w:rsidP="001414F5">
            <w:pPr>
              <w:contextualSpacing/>
              <w:jc w:val="both"/>
              <w:rPr>
                <w:rFonts w:eastAsia="Calibri"/>
                <w:sz w:val="20"/>
                <w:szCs w:val="20"/>
              </w:rPr>
            </w:pPr>
            <w:r w:rsidRPr="001B2F93">
              <w:rPr>
                <w:rFonts w:eastAsia="Calibri"/>
                <w:sz w:val="20"/>
                <w:szCs w:val="20"/>
              </w:rPr>
              <w:t xml:space="preserve">iii. Consider establishing the legal basis of the group. </w:t>
            </w:r>
          </w:p>
          <w:p w14:paraId="0CE1649B" w14:textId="77777777" w:rsidR="001B2F93" w:rsidRPr="001B2F93" w:rsidRDefault="001B2F93" w:rsidP="001414F5">
            <w:pPr>
              <w:contextualSpacing/>
              <w:jc w:val="both"/>
              <w:rPr>
                <w:rFonts w:eastAsia="Calibri"/>
                <w:sz w:val="20"/>
                <w:szCs w:val="20"/>
              </w:rPr>
            </w:pPr>
          </w:p>
          <w:p w14:paraId="3DDD4B3A" w14:textId="1F3830BA" w:rsidR="001B2F93" w:rsidRPr="001B2F93" w:rsidRDefault="001B2F93" w:rsidP="001414F5">
            <w:pPr>
              <w:contextualSpacing/>
              <w:jc w:val="both"/>
              <w:rPr>
                <w:rFonts w:eastAsia="Calibri"/>
                <w:sz w:val="20"/>
                <w:szCs w:val="20"/>
              </w:rPr>
            </w:pPr>
            <w:r w:rsidRPr="001B2F93">
              <w:rPr>
                <w:rFonts w:eastAsia="Calibri"/>
                <w:sz w:val="20"/>
                <w:szCs w:val="20"/>
              </w:rPr>
              <w:t>b) The multi-stakeholder group must agree to clear public Terms of Reference (</w:t>
            </w:r>
            <w:proofErr w:type="spellStart"/>
            <w:r w:rsidRPr="001B2F93">
              <w:rPr>
                <w:rFonts w:eastAsia="Calibri"/>
                <w:sz w:val="20"/>
                <w:szCs w:val="20"/>
              </w:rPr>
              <w:t>ToR</w:t>
            </w:r>
            <w:proofErr w:type="spellEnd"/>
            <w:r w:rsidRPr="001B2F93">
              <w:rPr>
                <w:rFonts w:eastAsia="Calibri"/>
                <w:sz w:val="20"/>
                <w:szCs w:val="20"/>
              </w:rPr>
              <w:t xml:space="preserve">) for its work. The </w:t>
            </w:r>
            <w:proofErr w:type="spellStart"/>
            <w:r w:rsidRPr="001B2F93">
              <w:rPr>
                <w:rFonts w:eastAsia="Calibri"/>
                <w:sz w:val="20"/>
                <w:szCs w:val="20"/>
              </w:rPr>
              <w:t>ToR</w:t>
            </w:r>
            <w:proofErr w:type="spellEnd"/>
            <w:r w:rsidRPr="001B2F93">
              <w:rPr>
                <w:rFonts w:eastAsia="Calibri"/>
                <w:sz w:val="20"/>
                <w:szCs w:val="20"/>
              </w:rPr>
              <w:t xml:space="preserve"> should, at a minimum, include provisions on: </w:t>
            </w:r>
          </w:p>
          <w:p w14:paraId="6D9BBD65" w14:textId="77777777" w:rsidR="001B2F93" w:rsidRPr="001B2F93" w:rsidRDefault="001B2F93" w:rsidP="001414F5">
            <w:pPr>
              <w:contextualSpacing/>
              <w:jc w:val="both"/>
              <w:rPr>
                <w:rFonts w:eastAsia="Calibri"/>
                <w:sz w:val="20"/>
                <w:szCs w:val="20"/>
              </w:rPr>
            </w:pPr>
            <w:r w:rsidRPr="001B2F93">
              <w:rPr>
                <w:rFonts w:eastAsia="Calibri"/>
                <w:sz w:val="20"/>
                <w:szCs w:val="20"/>
              </w:rPr>
              <w:t>The role, responsibilities, and rights of the multi-stakeholder group:</w:t>
            </w:r>
          </w:p>
          <w:p w14:paraId="0ABDB6EB" w14:textId="77777777" w:rsidR="001B2F93" w:rsidRPr="001B2F93" w:rsidRDefault="001B2F93" w:rsidP="001414F5">
            <w:pPr>
              <w:contextualSpacing/>
              <w:jc w:val="both"/>
              <w:rPr>
                <w:rFonts w:eastAsia="Calibri"/>
                <w:sz w:val="20"/>
                <w:szCs w:val="20"/>
              </w:rPr>
            </w:pPr>
          </w:p>
          <w:p w14:paraId="2B1F0627" w14:textId="77777777" w:rsidR="001B2F93" w:rsidRPr="001B2F93" w:rsidRDefault="001B2F93" w:rsidP="001414F5">
            <w:pPr>
              <w:contextualSpacing/>
              <w:jc w:val="both"/>
              <w:rPr>
                <w:rFonts w:eastAsia="Calibri"/>
                <w:sz w:val="20"/>
                <w:szCs w:val="20"/>
              </w:rPr>
            </w:pPr>
            <w:proofErr w:type="spellStart"/>
            <w:r w:rsidRPr="001B2F93">
              <w:rPr>
                <w:rFonts w:eastAsia="Calibri"/>
                <w:sz w:val="20"/>
                <w:szCs w:val="20"/>
              </w:rPr>
              <w:t>i</w:t>
            </w:r>
            <w:proofErr w:type="spellEnd"/>
            <w:r w:rsidRPr="001B2F93">
              <w:rPr>
                <w:rFonts w:eastAsia="Calibri"/>
                <w:sz w:val="20"/>
                <w:szCs w:val="20"/>
              </w:rPr>
              <w:t>. Members of the multi-stakeholder group should have the capacity to carry out their duties.</w:t>
            </w:r>
          </w:p>
          <w:p w14:paraId="603BC328" w14:textId="77777777" w:rsidR="001B2F93" w:rsidRPr="001B2F93" w:rsidRDefault="001B2F93" w:rsidP="001414F5">
            <w:pPr>
              <w:contextualSpacing/>
              <w:jc w:val="both"/>
              <w:rPr>
                <w:rFonts w:eastAsia="Calibri"/>
                <w:sz w:val="20"/>
                <w:szCs w:val="20"/>
              </w:rPr>
            </w:pPr>
            <w:r w:rsidRPr="001B2F93">
              <w:rPr>
                <w:rFonts w:eastAsia="Calibri"/>
                <w:sz w:val="20"/>
                <w:szCs w:val="20"/>
              </w:rPr>
              <w:t xml:space="preserve">ii. The multi-stakeholder group should undertake effective outreach activities with civil society  groups and companies, including through media, websites, and letters, informing stakeholders of the government’s commitment to implementing the EITI and the central role of companies and civil society. The multi-stakeholder group should also widely disseminate public information from the EITI process, such as the EITI Report. </w:t>
            </w:r>
          </w:p>
          <w:p w14:paraId="6FBAD030" w14:textId="77777777" w:rsidR="001B2F93" w:rsidRPr="001B2F93" w:rsidRDefault="001B2F93" w:rsidP="001414F5">
            <w:pPr>
              <w:contextualSpacing/>
              <w:jc w:val="both"/>
              <w:rPr>
                <w:rFonts w:eastAsia="Calibri"/>
                <w:sz w:val="20"/>
                <w:szCs w:val="20"/>
              </w:rPr>
            </w:pPr>
          </w:p>
          <w:p w14:paraId="6CD1A889" w14:textId="77777777" w:rsidR="001B2F93" w:rsidRPr="001B2F93" w:rsidRDefault="001B2F93" w:rsidP="001414F5">
            <w:pPr>
              <w:contextualSpacing/>
              <w:jc w:val="both"/>
              <w:rPr>
                <w:rFonts w:eastAsia="Calibri"/>
                <w:sz w:val="20"/>
                <w:szCs w:val="20"/>
              </w:rPr>
            </w:pPr>
            <w:r w:rsidRPr="001B2F93">
              <w:rPr>
                <w:rFonts w:eastAsia="Calibri"/>
                <w:sz w:val="20"/>
                <w:szCs w:val="20"/>
              </w:rPr>
              <w:t xml:space="preserve">iii. Members of the multi-stakeholder group should liaise with their constituency groups. Approval of work plans, EITI Reports, and annual activity reports: </w:t>
            </w:r>
          </w:p>
          <w:p w14:paraId="423B8D93" w14:textId="77777777" w:rsidR="001B2F93" w:rsidRPr="001B2F93" w:rsidRDefault="001B2F93" w:rsidP="001414F5">
            <w:pPr>
              <w:contextualSpacing/>
              <w:jc w:val="both"/>
              <w:rPr>
                <w:rFonts w:eastAsia="Calibri"/>
                <w:sz w:val="20"/>
                <w:szCs w:val="20"/>
              </w:rPr>
            </w:pPr>
          </w:p>
          <w:p w14:paraId="01B31959" w14:textId="77777777" w:rsidR="001B2F93" w:rsidRPr="001B2F93" w:rsidRDefault="001B2F93" w:rsidP="001414F5">
            <w:pPr>
              <w:contextualSpacing/>
              <w:jc w:val="both"/>
              <w:rPr>
                <w:rFonts w:eastAsia="Calibri"/>
                <w:sz w:val="20"/>
                <w:szCs w:val="20"/>
              </w:rPr>
            </w:pPr>
            <w:r w:rsidRPr="001B2F93">
              <w:rPr>
                <w:rFonts w:eastAsia="Calibri"/>
                <w:sz w:val="20"/>
                <w:szCs w:val="20"/>
              </w:rPr>
              <w:t xml:space="preserve">iv. The multi-stakeholder group is required to approve annual work plans, the appointment of the Independent Administrator, the Terms of Reference for the Independent Administrator, EITI Reports, and the yearly activity report. </w:t>
            </w:r>
          </w:p>
          <w:p w14:paraId="4EE00FBF" w14:textId="77777777" w:rsidR="001B2F93" w:rsidRPr="001B2F93" w:rsidRDefault="001B2F93" w:rsidP="001414F5">
            <w:pPr>
              <w:contextualSpacing/>
              <w:jc w:val="both"/>
              <w:rPr>
                <w:rFonts w:eastAsia="Calibri"/>
                <w:sz w:val="20"/>
                <w:szCs w:val="20"/>
              </w:rPr>
            </w:pPr>
          </w:p>
          <w:p w14:paraId="04C8F6DF" w14:textId="77777777" w:rsidR="001B2F93" w:rsidRPr="001B2F93" w:rsidRDefault="001B2F93" w:rsidP="001414F5">
            <w:pPr>
              <w:contextualSpacing/>
              <w:jc w:val="both"/>
              <w:rPr>
                <w:rFonts w:eastAsia="Calibri"/>
                <w:sz w:val="20"/>
                <w:szCs w:val="20"/>
              </w:rPr>
            </w:pPr>
            <w:r w:rsidRPr="001B2F93">
              <w:rPr>
                <w:rFonts w:eastAsia="Calibri"/>
                <w:sz w:val="20"/>
                <w:szCs w:val="20"/>
              </w:rPr>
              <w:t xml:space="preserve">v. The multi-stakeholder group should oversee the EITI reporting process and engage in Validation. </w:t>
            </w:r>
            <w:r w:rsidRPr="0035299A">
              <w:rPr>
                <w:rFonts w:eastAsia="Calibri"/>
                <w:b/>
                <w:bCs/>
                <w:sz w:val="20"/>
                <w:szCs w:val="20"/>
              </w:rPr>
              <w:t>Internal governance rules and procedures:</w:t>
            </w:r>
            <w:r w:rsidRPr="001B2F93">
              <w:rPr>
                <w:rFonts w:eastAsia="Calibri"/>
                <w:sz w:val="20"/>
                <w:szCs w:val="20"/>
              </w:rPr>
              <w:t xml:space="preserve"> </w:t>
            </w:r>
          </w:p>
          <w:p w14:paraId="2CB38362" w14:textId="77777777" w:rsidR="001B2F93" w:rsidRPr="001B2F93" w:rsidRDefault="001B2F93" w:rsidP="001414F5">
            <w:pPr>
              <w:contextualSpacing/>
              <w:jc w:val="both"/>
              <w:rPr>
                <w:rFonts w:eastAsia="Calibri"/>
                <w:sz w:val="20"/>
                <w:szCs w:val="20"/>
              </w:rPr>
            </w:pPr>
          </w:p>
          <w:p w14:paraId="7DC40D2E" w14:textId="77777777" w:rsidR="001B2F93" w:rsidRPr="001B2F93" w:rsidRDefault="001B2F93" w:rsidP="001414F5">
            <w:pPr>
              <w:contextualSpacing/>
              <w:jc w:val="both"/>
              <w:rPr>
                <w:rFonts w:eastAsia="Calibri"/>
                <w:sz w:val="20"/>
                <w:szCs w:val="20"/>
              </w:rPr>
            </w:pPr>
            <w:r w:rsidRPr="001B2F93">
              <w:rPr>
                <w:rFonts w:eastAsia="Calibri"/>
                <w:sz w:val="20"/>
                <w:szCs w:val="20"/>
              </w:rPr>
              <w:t xml:space="preserve">vi. The EITI requires an inclusive decision-making process throughout implementation, with each constituency being treated as a partner.  Any member of the multi-stakeholder group has the right to table an issue for discussion. The multi-stakeholder group should agree and publish its procedures for nominating and changing multi-stakeholder group representatives, decision-making, the duration of the mandate, and the frequency of meetings. This should </w:t>
            </w:r>
            <w:r w:rsidRPr="001B2F93">
              <w:rPr>
                <w:rFonts w:eastAsia="Calibri"/>
                <w:sz w:val="20"/>
                <w:szCs w:val="20"/>
              </w:rPr>
              <w:lastRenderedPageBreak/>
              <w:t xml:space="preserve">include ensuring that there is a process for changing group members that respect the principles set out in </w:t>
            </w:r>
          </w:p>
          <w:p w14:paraId="653AA1F5" w14:textId="77777777" w:rsidR="001B2F93" w:rsidRPr="001B2F93" w:rsidRDefault="001B2F93" w:rsidP="001414F5">
            <w:pPr>
              <w:contextualSpacing/>
              <w:jc w:val="both"/>
              <w:rPr>
                <w:rFonts w:eastAsia="Calibri"/>
                <w:sz w:val="20"/>
                <w:szCs w:val="20"/>
              </w:rPr>
            </w:pPr>
          </w:p>
          <w:p w14:paraId="156424C6" w14:textId="77777777" w:rsidR="001B2F93" w:rsidRPr="001B2F93" w:rsidRDefault="001B2F93" w:rsidP="001414F5">
            <w:pPr>
              <w:contextualSpacing/>
              <w:jc w:val="both"/>
              <w:rPr>
                <w:rFonts w:eastAsia="Calibri"/>
                <w:sz w:val="20"/>
                <w:szCs w:val="20"/>
                <w:u w:val="single"/>
              </w:rPr>
            </w:pPr>
            <w:r w:rsidRPr="001B2F93">
              <w:rPr>
                <w:rFonts w:eastAsia="Calibri"/>
                <w:sz w:val="20"/>
                <w:szCs w:val="20"/>
                <w:u w:val="single"/>
              </w:rPr>
              <w:t xml:space="preserve">Requirement (1.4.a.) </w:t>
            </w:r>
          </w:p>
          <w:p w14:paraId="3DE38191" w14:textId="77777777" w:rsidR="001B2F93" w:rsidRPr="001B2F93" w:rsidRDefault="001B2F93" w:rsidP="001414F5">
            <w:pPr>
              <w:contextualSpacing/>
              <w:jc w:val="both"/>
              <w:rPr>
                <w:rFonts w:eastAsia="Calibri"/>
                <w:sz w:val="20"/>
                <w:szCs w:val="20"/>
              </w:rPr>
            </w:pPr>
            <w:r w:rsidRPr="001B2F93">
              <w:rPr>
                <w:rFonts w:eastAsia="Calibri"/>
                <w:sz w:val="20"/>
                <w:szCs w:val="20"/>
              </w:rPr>
              <w:t xml:space="preserve">The MSG has per diems for attending EITI meetings or other payments to MSG members; this practice should be transparent and not create conflicts of interest. </w:t>
            </w:r>
          </w:p>
          <w:p w14:paraId="5BEE7602" w14:textId="77777777" w:rsidR="001B2F93" w:rsidRPr="001B2F93" w:rsidRDefault="001B2F93" w:rsidP="001414F5">
            <w:pPr>
              <w:contextualSpacing/>
              <w:jc w:val="both"/>
              <w:rPr>
                <w:rFonts w:eastAsia="Calibri"/>
                <w:sz w:val="20"/>
                <w:szCs w:val="20"/>
              </w:rPr>
            </w:pPr>
          </w:p>
          <w:p w14:paraId="66321EDD" w14:textId="77777777" w:rsidR="001B2F93" w:rsidRPr="001B2F93" w:rsidRDefault="001B2F93" w:rsidP="001414F5">
            <w:pPr>
              <w:contextualSpacing/>
              <w:jc w:val="both"/>
              <w:rPr>
                <w:rFonts w:eastAsia="Calibri"/>
                <w:sz w:val="20"/>
                <w:szCs w:val="20"/>
              </w:rPr>
            </w:pPr>
            <w:r w:rsidRPr="001B2F93">
              <w:rPr>
                <w:rFonts w:eastAsia="Calibri"/>
                <w:sz w:val="20"/>
                <w:szCs w:val="20"/>
              </w:rPr>
              <w:t xml:space="preserve">vii. There should be sufficient advance notice of meetings and timely circulation of documents before their debate and proposed adoption. </w:t>
            </w:r>
          </w:p>
          <w:p w14:paraId="2BD6F2F5" w14:textId="77777777" w:rsidR="001B2F93" w:rsidRPr="001B2F93" w:rsidRDefault="001B2F93" w:rsidP="001414F5">
            <w:pPr>
              <w:contextualSpacing/>
              <w:jc w:val="both"/>
              <w:rPr>
                <w:rFonts w:eastAsia="Calibri"/>
                <w:sz w:val="20"/>
                <w:szCs w:val="20"/>
              </w:rPr>
            </w:pPr>
          </w:p>
          <w:p w14:paraId="70335F57" w14:textId="77777777" w:rsidR="001B2F93" w:rsidRPr="001B2F93" w:rsidRDefault="001B2F93" w:rsidP="001414F5">
            <w:pPr>
              <w:contextualSpacing/>
              <w:jc w:val="both"/>
              <w:rPr>
                <w:rFonts w:eastAsia="Calibri"/>
                <w:sz w:val="20"/>
                <w:szCs w:val="20"/>
              </w:rPr>
            </w:pPr>
            <w:r w:rsidRPr="001B2F93">
              <w:rPr>
                <w:rFonts w:eastAsia="Calibri"/>
                <w:sz w:val="20"/>
                <w:szCs w:val="20"/>
              </w:rPr>
              <w:t>viii. The multi-stakeholder group must keep written records of its discussions and decisions.</w:t>
            </w:r>
          </w:p>
        </w:tc>
        <w:tc>
          <w:tcPr>
            <w:tcW w:w="5400" w:type="dxa"/>
          </w:tcPr>
          <w:p w14:paraId="7DDD919A" w14:textId="77777777" w:rsidR="001B2F93" w:rsidRPr="001B2F93" w:rsidRDefault="001B2F93" w:rsidP="001414F5">
            <w:pPr>
              <w:ind w:left="720"/>
              <w:contextualSpacing/>
              <w:jc w:val="both"/>
              <w:rPr>
                <w:rFonts w:eastAsia="Calibri"/>
                <w:sz w:val="20"/>
                <w:szCs w:val="20"/>
              </w:rPr>
            </w:pPr>
          </w:p>
          <w:p w14:paraId="254CBBC4" w14:textId="5BEC583F" w:rsidR="009A161C" w:rsidRPr="009A161C" w:rsidRDefault="009A161C" w:rsidP="009A161C">
            <w:pPr>
              <w:contextualSpacing/>
              <w:jc w:val="both"/>
              <w:rPr>
                <w:rFonts w:eastAsia="Calibri"/>
                <w:b/>
                <w:bCs/>
                <w:sz w:val="20"/>
                <w:szCs w:val="20"/>
                <w:u w:val="single"/>
              </w:rPr>
            </w:pPr>
            <w:r w:rsidRPr="009A161C">
              <w:rPr>
                <w:rFonts w:eastAsia="Calibri"/>
                <w:b/>
                <w:bCs/>
                <w:sz w:val="20"/>
                <w:szCs w:val="20"/>
                <w:u w:val="single"/>
              </w:rPr>
              <w:t>Composition and Functioning of the MSG (2025)</w:t>
            </w:r>
            <w:r w:rsidR="00FC63CC">
              <w:rPr>
                <w:rFonts w:eastAsia="Calibri"/>
                <w:b/>
                <w:bCs/>
                <w:sz w:val="20"/>
                <w:szCs w:val="20"/>
                <w:u w:val="single"/>
              </w:rPr>
              <w:t>:</w:t>
            </w:r>
          </w:p>
          <w:p w14:paraId="0BCC17A3" w14:textId="77777777" w:rsidR="009A161C" w:rsidRDefault="009A161C" w:rsidP="009A161C">
            <w:pPr>
              <w:contextualSpacing/>
              <w:jc w:val="both"/>
              <w:rPr>
                <w:rFonts w:eastAsia="Calibri"/>
                <w:sz w:val="20"/>
                <w:szCs w:val="20"/>
              </w:rPr>
            </w:pPr>
            <w:r w:rsidRPr="009A161C">
              <w:rPr>
                <w:rFonts w:eastAsia="Calibri"/>
                <w:sz w:val="20"/>
                <w:szCs w:val="20"/>
              </w:rPr>
              <w:t>The Multi-Stakeholder Group (MSG) was newly constituted in August 2025 for a period of three years.</w:t>
            </w:r>
          </w:p>
          <w:p w14:paraId="0E3C55D1" w14:textId="77777777" w:rsidR="00D64FFF" w:rsidRPr="009A161C" w:rsidRDefault="00D64FFF" w:rsidP="009A161C">
            <w:pPr>
              <w:contextualSpacing/>
              <w:jc w:val="both"/>
              <w:rPr>
                <w:rFonts w:eastAsia="Calibri"/>
                <w:sz w:val="20"/>
                <w:szCs w:val="20"/>
              </w:rPr>
            </w:pPr>
          </w:p>
          <w:p w14:paraId="2FB37BFE" w14:textId="0D6FC4A1" w:rsidR="009A161C" w:rsidRDefault="009A161C" w:rsidP="009A161C">
            <w:pPr>
              <w:contextualSpacing/>
              <w:jc w:val="both"/>
              <w:rPr>
                <w:rFonts w:eastAsia="Calibri"/>
                <w:sz w:val="20"/>
                <w:szCs w:val="20"/>
              </w:rPr>
            </w:pPr>
            <w:r w:rsidRPr="009A161C">
              <w:rPr>
                <w:rFonts w:eastAsia="Calibri"/>
                <w:sz w:val="20"/>
                <w:szCs w:val="20"/>
              </w:rPr>
              <w:t xml:space="preserve">Following its reconstitution, concerns were raised by </w:t>
            </w:r>
            <w:r w:rsidR="006F2DB8">
              <w:rPr>
                <w:rFonts w:eastAsia="Calibri"/>
                <w:sz w:val="20"/>
                <w:szCs w:val="20"/>
              </w:rPr>
              <w:t>Policy Forum Guyana</w:t>
            </w:r>
            <w:r w:rsidRPr="009A161C">
              <w:rPr>
                <w:rFonts w:eastAsia="Calibri"/>
                <w:sz w:val="20"/>
                <w:szCs w:val="20"/>
              </w:rPr>
              <w:t xml:space="preserve"> regarding the nomination process of members whose previous term ended in 2025. Although new members were installed in August 2025, they were not effectively able to function due to concerns expressed by Policy Forum Guyana, which had served as the Civil Society Convenor in prior years.</w:t>
            </w:r>
            <w:r w:rsidR="00B25376">
              <w:rPr>
                <w:rFonts w:eastAsia="Calibri"/>
                <w:sz w:val="20"/>
                <w:szCs w:val="20"/>
              </w:rPr>
              <w:t xml:space="preserve"> </w:t>
            </w:r>
          </w:p>
          <w:p w14:paraId="261D2D69" w14:textId="77777777" w:rsidR="00D64FFF" w:rsidRPr="009A161C" w:rsidRDefault="00D64FFF" w:rsidP="009A161C">
            <w:pPr>
              <w:contextualSpacing/>
              <w:jc w:val="both"/>
              <w:rPr>
                <w:rFonts w:eastAsia="Calibri"/>
                <w:sz w:val="20"/>
                <w:szCs w:val="20"/>
              </w:rPr>
            </w:pPr>
          </w:p>
          <w:p w14:paraId="13A88675" w14:textId="77777777" w:rsidR="009A161C" w:rsidRPr="009A161C" w:rsidRDefault="009A161C" w:rsidP="009A161C">
            <w:pPr>
              <w:contextualSpacing/>
              <w:jc w:val="both"/>
              <w:rPr>
                <w:rFonts w:eastAsia="Calibri"/>
                <w:sz w:val="20"/>
                <w:szCs w:val="20"/>
              </w:rPr>
            </w:pPr>
            <w:r w:rsidRPr="009A161C">
              <w:rPr>
                <w:rFonts w:eastAsia="Calibri"/>
                <w:sz w:val="20"/>
                <w:szCs w:val="20"/>
              </w:rPr>
              <w:t>The EITI International Secretariat intervened to support resolution of the impasse. A revised process was subsequently engaged, resulting in the nomination and appointment of new Civil Society representatives to the MSG, effective December 1, 2025.</w:t>
            </w:r>
          </w:p>
          <w:p w14:paraId="433AFF69" w14:textId="77777777" w:rsidR="009A161C" w:rsidRDefault="009A161C" w:rsidP="009A161C">
            <w:pPr>
              <w:contextualSpacing/>
              <w:jc w:val="both"/>
              <w:rPr>
                <w:rFonts w:eastAsia="Calibri"/>
                <w:sz w:val="20"/>
                <w:szCs w:val="20"/>
              </w:rPr>
            </w:pPr>
            <w:r w:rsidRPr="009A161C">
              <w:rPr>
                <w:rFonts w:eastAsia="Calibri"/>
                <w:sz w:val="20"/>
                <w:szCs w:val="20"/>
              </w:rPr>
              <w:lastRenderedPageBreak/>
              <w:t>Two Civil Society seats allocated to Policy Forum Guyana remain vacant to date. This has affected the full operational strength of the Civil Society constituency.</w:t>
            </w:r>
          </w:p>
          <w:p w14:paraId="05562DC3" w14:textId="77777777" w:rsidR="002B445D" w:rsidRPr="009A161C" w:rsidRDefault="002B445D" w:rsidP="009A161C">
            <w:pPr>
              <w:contextualSpacing/>
              <w:jc w:val="both"/>
              <w:rPr>
                <w:rFonts w:eastAsia="Calibri"/>
                <w:sz w:val="20"/>
                <w:szCs w:val="20"/>
              </w:rPr>
            </w:pPr>
          </w:p>
          <w:p w14:paraId="49652EDE" w14:textId="77777777" w:rsidR="009A161C" w:rsidRDefault="009A161C" w:rsidP="009A161C">
            <w:pPr>
              <w:contextualSpacing/>
              <w:jc w:val="both"/>
              <w:rPr>
                <w:rFonts w:eastAsia="Calibri"/>
                <w:sz w:val="20"/>
                <w:szCs w:val="20"/>
              </w:rPr>
            </w:pPr>
            <w:r w:rsidRPr="009A161C">
              <w:rPr>
                <w:rFonts w:eastAsia="Calibri"/>
                <w:sz w:val="20"/>
                <w:szCs w:val="20"/>
              </w:rPr>
              <w:t>Other than the above-mentioned impasse, there were no hindrances to Civil Society (or other constituency) participation in MSG deliberations or decision-making processes.</w:t>
            </w:r>
          </w:p>
          <w:p w14:paraId="15E4BE9A" w14:textId="77777777" w:rsidR="002B445D" w:rsidRPr="009A161C" w:rsidRDefault="002B445D" w:rsidP="009A161C">
            <w:pPr>
              <w:contextualSpacing/>
              <w:jc w:val="both"/>
              <w:rPr>
                <w:rFonts w:eastAsia="Calibri"/>
                <w:sz w:val="20"/>
                <w:szCs w:val="20"/>
              </w:rPr>
            </w:pPr>
          </w:p>
          <w:p w14:paraId="49C3DEAD" w14:textId="77777777" w:rsidR="009A161C" w:rsidRPr="009A161C" w:rsidRDefault="009A161C" w:rsidP="009A161C">
            <w:pPr>
              <w:contextualSpacing/>
              <w:jc w:val="both"/>
              <w:rPr>
                <w:rFonts w:eastAsia="Calibri"/>
                <w:sz w:val="20"/>
                <w:szCs w:val="20"/>
              </w:rPr>
            </w:pPr>
            <w:r w:rsidRPr="009A161C">
              <w:rPr>
                <w:rFonts w:eastAsia="Calibri"/>
                <w:sz w:val="20"/>
                <w:szCs w:val="20"/>
              </w:rPr>
              <w:t>All MSG members serve on a voluntary basis. No per diem or honorarium was requested, extended, or accepted by members during 2025.</w:t>
            </w:r>
          </w:p>
          <w:p w14:paraId="76DBC66A" w14:textId="77777777" w:rsidR="002B445D" w:rsidRDefault="002B445D" w:rsidP="009A161C">
            <w:pPr>
              <w:contextualSpacing/>
              <w:jc w:val="both"/>
              <w:rPr>
                <w:rFonts w:eastAsia="Calibri"/>
                <w:sz w:val="20"/>
                <w:szCs w:val="20"/>
              </w:rPr>
            </w:pPr>
          </w:p>
          <w:p w14:paraId="6421ED26" w14:textId="15024F51" w:rsidR="009A161C" w:rsidRPr="009A161C" w:rsidRDefault="009A161C" w:rsidP="009A161C">
            <w:pPr>
              <w:contextualSpacing/>
              <w:jc w:val="both"/>
              <w:rPr>
                <w:rFonts w:eastAsia="Calibri"/>
                <w:sz w:val="20"/>
                <w:szCs w:val="20"/>
                <w:u w:val="single"/>
              </w:rPr>
            </w:pPr>
            <w:r w:rsidRPr="009A161C">
              <w:rPr>
                <w:rFonts w:eastAsia="Calibri"/>
                <w:b/>
                <w:bCs/>
                <w:sz w:val="20"/>
                <w:szCs w:val="20"/>
                <w:u w:val="single"/>
              </w:rPr>
              <w:t>Governance Framework</w:t>
            </w:r>
            <w:r w:rsidR="00FC63CC">
              <w:rPr>
                <w:rFonts w:eastAsia="Calibri"/>
                <w:b/>
                <w:bCs/>
                <w:sz w:val="20"/>
                <w:szCs w:val="20"/>
                <w:u w:val="single"/>
              </w:rPr>
              <w:t>:</w:t>
            </w:r>
          </w:p>
          <w:p w14:paraId="0493A5B2" w14:textId="0A86F195" w:rsidR="009A161C" w:rsidRDefault="009A161C" w:rsidP="009A161C">
            <w:pPr>
              <w:contextualSpacing/>
              <w:jc w:val="both"/>
              <w:rPr>
                <w:rFonts w:eastAsia="Calibri"/>
                <w:sz w:val="20"/>
                <w:szCs w:val="20"/>
              </w:rPr>
            </w:pPr>
            <w:r w:rsidRPr="009A161C">
              <w:rPr>
                <w:rFonts w:eastAsia="Calibri"/>
                <w:sz w:val="20"/>
                <w:szCs w:val="20"/>
              </w:rPr>
              <w:t xml:space="preserve">The operations of the MSG are guided by the GYEITI Policy Manual, which is publicly available on the GYEITI website </w:t>
            </w:r>
            <w:hyperlink r:id="rId25" w:history="1">
              <w:r w:rsidRPr="009A161C">
                <w:rPr>
                  <w:rStyle w:val="Hyperlink"/>
                  <w:rFonts w:eastAsia="Calibri"/>
                  <w:sz w:val="20"/>
                  <w:szCs w:val="20"/>
                </w:rPr>
                <w:t>(GYEITI-MSG-Policy-Manual.pdf).</w:t>
              </w:r>
            </w:hyperlink>
          </w:p>
          <w:p w14:paraId="2DEF49CC" w14:textId="77777777" w:rsidR="006F32B5" w:rsidRPr="009A161C" w:rsidRDefault="006F32B5" w:rsidP="009A161C">
            <w:pPr>
              <w:contextualSpacing/>
              <w:jc w:val="both"/>
              <w:rPr>
                <w:rFonts w:eastAsia="Calibri"/>
                <w:sz w:val="20"/>
                <w:szCs w:val="20"/>
              </w:rPr>
            </w:pPr>
          </w:p>
          <w:p w14:paraId="2F485DCE" w14:textId="77777777" w:rsidR="009A161C" w:rsidRDefault="009A161C" w:rsidP="009A161C">
            <w:pPr>
              <w:contextualSpacing/>
              <w:jc w:val="both"/>
              <w:rPr>
                <w:rFonts w:eastAsia="Calibri"/>
                <w:sz w:val="20"/>
                <w:szCs w:val="20"/>
              </w:rPr>
            </w:pPr>
            <w:r w:rsidRPr="009A161C">
              <w:rPr>
                <w:rFonts w:eastAsia="Calibri"/>
                <w:sz w:val="20"/>
                <w:szCs w:val="20"/>
              </w:rPr>
              <w:t>Approval of key documents—including the Work Plan, Annual Activity Report, and EITI Report—requires the expressed approval of each constituency, subject to internal consultations.</w:t>
            </w:r>
          </w:p>
          <w:p w14:paraId="1C25B162" w14:textId="77777777" w:rsidR="006F32B5" w:rsidRPr="009A161C" w:rsidRDefault="006F32B5" w:rsidP="009A161C">
            <w:pPr>
              <w:contextualSpacing/>
              <w:jc w:val="both"/>
              <w:rPr>
                <w:rFonts w:eastAsia="Calibri"/>
                <w:sz w:val="20"/>
                <w:szCs w:val="20"/>
              </w:rPr>
            </w:pPr>
          </w:p>
          <w:p w14:paraId="06436DE6" w14:textId="13053FF2" w:rsidR="009A161C" w:rsidRPr="009A161C" w:rsidRDefault="009A161C" w:rsidP="009A161C">
            <w:pPr>
              <w:contextualSpacing/>
              <w:jc w:val="both"/>
              <w:rPr>
                <w:rFonts w:eastAsia="Calibri"/>
                <w:sz w:val="20"/>
                <w:szCs w:val="20"/>
              </w:rPr>
            </w:pPr>
            <w:r w:rsidRPr="009A161C">
              <w:rPr>
                <w:rFonts w:eastAsia="Calibri"/>
                <w:sz w:val="20"/>
                <w:szCs w:val="20"/>
              </w:rPr>
              <w:t xml:space="preserve">The Work Plan, Validation, and Terms of Reference (TOR) Committee </w:t>
            </w:r>
            <w:r w:rsidR="00BA7B39" w:rsidRPr="009A161C">
              <w:rPr>
                <w:rFonts w:eastAsia="Calibri"/>
                <w:sz w:val="20"/>
                <w:szCs w:val="20"/>
              </w:rPr>
              <w:t>provide</w:t>
            </w:r>
            <w:r w:rsidRPr="009A161C">
              <w:rPr>
                <w:rFonts w:eastAsia="Calibri"/>
                <w:sz w:val="20"/>
                <w:szCs w:val="20"/>
              </w:rPr>
              <w:t xml:space="preserve"> oversight of these processes and ensures alignment with the EITI Standard and the Policy Manual.</w:t>
            </w:r>
          </w:p>
          <w:p w14:paraId="03DD291C" w14:textId="77777777" w:rsidR="00BC1832" w:rsidRDefault="00BC1832" w:rsidP="009A161C">
            <w:pPr>
              <w:contextualSpacing/>
              <w:jc w:val="both"/>
              <w:rPr>
                <w:rFonts w:eastAsia="Calibri"/>
                <w:sz w:val="20"/>
                <w:szCs w:val="20"/>
              </w:rPr>
            </w:pPr>
          </w:p>
          <w:p w14:paraId="0007E393" w14:textId="14A99585" w:rsidR="009A161C" w:rsidRPr="009A161C" w:rsidRDefault="009A161C" w:rsidP="009A161C">
            <w:pPr>
              <w:contextualSpacing/>
              <w:jc w:val="both"/>
              <w:rPr>
                <w:rFonts w:eastAsia="Calibri"/>
                <w:sz w:val="20"/>
                <w:szCs w:val="20"/>
                <w:u w:val="single"/>
              </w:rPr>
            </w:pPr>
            <w:r w:rsidRPr="009A161C">
              <w:rPr>
                <w:rFonts w:eastAsia="Calibri"/>
                <w:b/>
                <w:bCs/>
                <w:sz w:val="20"/>
                <w:szCs w:val="20"/>
                <w:u w:val="single"/>
              </w:rPr>
              <w:t>Capacity Building and Training</w:t>
            </w:r>
            <w:r w:rsidR="00FC63CC">
              <w:rPr>
                <w:rFonts w:eastAsia="Calibri"/>
                <w:b/>
                <w:bCs/>
                <w:sz w:val="20"/>
                <w:szCs w:val="20"/>
                <w:u w:val="single"/>
              </w:rPr>
              <w:t>:</w:t>
            </w:r>
          </w:p>
          <w:p w14:paraId="49B23673" w14:textId="77777777" w:rsidR="009A161C" w:rsidRPr="009A161C" w:rsidRDefault="009A161C" w:rsidP="009A161C">
            <w:pPr>
              <w:contextualSpacing/>
              <w:jc w:val="both"/>
              <w:rPr>
                <w:rFonts w:eastAsia="Calibri"/>
                <w:sz w:val="20"/>
                <w:szCs w:val="20"/>
              </w:rPr>
            </w:pPr>
            <w:r w:rsidRPr="009A161C">
              <w:rPr>
                <w:rFonts w:eastAsia="Calibri"/>
                <w:sz w:val="20"/>
                <w:szCs w:val="20"/>
              </w:rPr>
              <w:t>Capacity building sessions were conducted to strengthen MSG members’ understanding of their roles and responsibilities:</w:t>
            </w:r>
          </w:p>
          <w:p w14:paraId="54DFAE86" w14:textId="77777777" w:rsidR="009A161C" w:rsidRPr="009A161C" w:rsidRDefault="009A161C" w:rsidP="009A161C">
            <w:pPr>
              <w:numPr>
                <w:ilvl w:val="0"/>
                <w:numId w:val="103"/>
              </w:numPr>
              <w:contextualSpacing/>
              <w:jc w:val="both"/>
              <w:rPr>
                <w:rFonts w:eastAsia="Calibri"/>
                <w:sz w:val="20"/>
                <w:szCs w:val="20"/>
              </w:rPr>
            </w:pPr>
            <w:r w:rsidRPr="009A161C">
              <w:rPr>
                <w:rFonts w:eastAsia="Calibri"/>
                <w:b/>
                <w:bCs/>
                <w:sz w:val="20"/>
                <w:szCs w:val="20"/>
              </w:rPr>
              <w:t>August 12, 2025 (a.m.)</w:t>
            </w:r>
            <w:r w:rsidRPr="009A161C">
              <w:rPr>
                <w:rFonts w:eastAsia="Calibri"/>
                <w:sz w:val="20"/>
                <w:szCs w:val="20"/>
              </w:rPr>
              <w:t xml:space="preserve"> – Training on MSG roles and functions under the Policy Manual, facilitated by World Bank Consultant, Sam Tokpah.</w:t>
            </w:r>
          </w:p>
          <w:p w14:paraId="24371C81" w14:textId="77777777" w:rsidR="009A161C" w:rsidRPr="009A161C" w:rsidRDefault="009A161C" w:rsidP="009A161C">
            <w:pPr>
              <w:numPr>
                <w:ilvl w:val="0"/>
                <w:numId w:val="103"/>
              </w:numPr>
              <w:contextualSpacing/>
              <w:jc w:val="both"/>
              <w:rPr>
                <w:rFonts w:eastAsia="Calibri"/>
                <w:sz w:val="20"/>
                <w:szCs w:val="20"/>
              </w:rPr>
            </w:pPr>
            <w:r w:rsidRPr="009A161C">
              <w:rPr>
                <w:rFonts w:eastAsia="Calibri"/>
                <w:b/>
                <w:bCs/>
                <w:sz w:val="20"/>
                <w:szCs w:val="20"/>
              </w:rPr>
              <w:t>August 12, 2025 (p.m.)</w:t>
            </w:r>
            <w:r w:rsidRPr="009A161C">
              <w:rPr>
                <w:rFonts w:eastAsia="Calibri"/>
                <w:sz w:val="20"/>
                <w:szCs w:val="20"/>
              </w:rPr>
              <w:t xml:space="preserve"> – Training on the 2023 EITI International Standard and its requirements, facilitated by Esteban Moantego, Regional Director for Latin America and the Caribbean, and Jessica Sanchez, Country Representative for LAC.</w:t>
            </w:r>
          </w:p>
          <w:p w14:paraId="191752AE" w14:textId="77777777" w:rsidR="00A07574" w:rsidRDefault="00A07574" w:rsidP="009A161C">
            <w:pPr>
              <w:contextualSpacing/>
              <w:jc w:val="both"/>
              <w:rPr>
                <w:rFonts w:eastAsia="Calibri"/>
                <w:sz w:val="20"/>
                <w:szCs w:val="20"/>
              </w:rPr>
            </w:pPr>
          </w:p>
          <w:p w14:paraId="3BE32800" w14:textId="48D9C08B" w:rsidR="009A161C" w:rsidRPr="009A161C" w:rsidRDefault="009A161C" w:rsidP="009A161C">
            <w:pPr>
              <w:contextualSpacing/>
              <w:jc w:val="both"/>
              <w:rPr>
                <w:rFonts w:eastAsia="Calibri"/>
                <w:sz w:val="20"/>
                <w:szCs w:val="20"/>
                <w:u w:val="single"/>
              </w:rPr>
            </w:pPr>
            <w:r w:rsidRPr="009A161C">
              <w:rPr>
                <w:rFonts w:eastAsia="Calibri"/>
                <w:b/>
                <w:bCs/>
                <w:sz w:val="20"/>
                <w:szCs w:val="20"/>
                <w:u w:val="single"/>
              </w:rPr>
              <w:t>Stakeholder Engagement and Decision-Making</w:t>
            </w:r>
            <w:r w:rsidR="00FC63CC">
              <w:rPr>
                <w:rFonts w:eastAsia="Calibri"/>
                <w:b/>
                <w:bCs/>
                <w:sz w:val="20"/>
                <w:szCs w:val="20"/>
                <w:u w:val="single"/>
              </w:rPr>
              <w:t>:</w:t>
            </w:r>
          </w:p>
          <w:p w14:paraId="148254A8" w14:textId="77777777" w:rsidR="009A161C" w:rsidRDefault="009A161C" w:rsidP="009A161C">
            <w:pPr>
              <w:contextualSpacing/>
              <w:jc w:val="both"/>
              <w:rPr>
                <w:rFonts w:eastAsia="Calibri"/>
                <w:sz w:val="20"/>
                <w:szCs w:val="20"/>
              </w:rPr>
            </w:pPr>
            <w:r w:rsidRPr="009A161C">
              <w:rPr>
                <w:rFonts w:eastAsia="Calibri"/>
                <w:sz w:val="20"/>
                <w:szCs w:val="20"/>
              </w:rPr>
              <w:t>Engagement on the development of the Work Plan, Annual Activity Report, and EITI Report is initiated at the Committee level. Members actively participate in discussions, consult their respective constituencies, and present feedback at both Committee and full MSG meetings.</w:t>
            </w:r>
          </w:p>
          <w:p w14:paraId="340B9EA6" w14:textId="77777777" w:rsidR="00B84F04" w:rsidRPr="009A161C" w:rsidRDefault="00B84F04" w:rsidP="009A161C">
            <w:pPr>
              <w:contextualSpacing/>
              <w:jc w:val="both"/>
              <w:rPr>
                <w:rFonts w:eastAsia="Calibri"/>
                <w:sz w:val="20"/>
                <w:szCs w:val="20"/>
              </w:rPr>
            </w:pPr>
          </w:p>
          <w:p w14:paraId="66F65D89" w14:textId="35195E39" w:rsidR="009A161C" w:rsidRPr="009A161C" w:rsidRDefault="009A161C" w:rsidP="009A161C">
            <w:pPr>
              <w:contextualSpacing/>
              <w:jc w:val="both"/>
              <w:rPr>
                <w:rFonts w:eastAsia="Calibri"/>
                <w:sz w:val="20"/>
                <w:szCs w:val="20"/>
              </w:rPr>
            </w:pPr>
            <w:r w:rsidRPr="009A161C">
              <w:rPr>
                <w:rFonts w:eastAsia="Calibri"/>
                <w:sz w:val="20"/>
                <w:szCs w:val="20"/>
              </w:rPr>
              <w:t xml:space="preserve">The MSG holds statutory monthly meetings. Minutes of these meetings are publicly available on the GYEITI website </w:t>
            </w:r>
            <w:hyperlink r:id="rId26" w:history="1">
              <w:r w:rsidRPr="009A161C">
                <w:rPr>
                  <w:rStyle w:val="Hyperlink"/>
                  <w:rFonts w:eastAsia="Calibri"/>
                  <w:sz w:val="20"/>
                  <w:szCs w:val="20"/>
                </w:rPr>
                <w:t>(Meeting Minutes &amp; Decisions – EITI)</w:t>
              </w:r>
            </w:hyperlink>
            <w:r w:rsidRPr="009A161C">
              <w:rPr>
                <w:rFonts w:eastAsia="Calibri"/>
                <w:sz w:val="20"/>
                <w:szCs w:val="20"/>
              </w:rPr>
              <w:t>. As far as practicable, sufficient advance notice and circulation of documents are provided to members.</w:t>
            </w:r>
          </w:p>
          <w:p w14:paraId="1F62A1DE" w14:textId="77777777" w:rsidR="001B2F93" w:rsidRPr="001B2F93" w:rsidRDefault="001B2F93" w:rsidP="003E26FE">
            <w:pPr>
              <w:contextualSpacing/>
              <w:jc w:val="both"/>
              <w:rPr>
                <w:rFonts w:eastAsia="Calibri"/>
                <w:sz w:val="20"/>
                <w:szCs w:val="20"/>
              </w:rPr>
            </w:pPr>
          </w:p>
          <w:p w14:paraId="25E8896F" w14:textId="77777777" w:rsidR="001B2F93" w:rsidRPr="001B2F93" w:rsidRDefault="001B2F93" w:rsidP="001414F5">
            <w:pPr>
              <w:ind w:left="720"/>
              <w:contextualSpacing/>
              <w:jc w:val="both"/>
              <w:rPr>
                <w:rFonts w:eastAsia="Calibri"/>
                <w:sz w:val="20"/>
                <w:szCs w:val="20"/>
              </w:rPr>
            </w:pPr>
          </w:p>
        </w:tc>
      </w:tr>
      <w:tr w:rsidR="001B2F93" w:rsidRPr="001B2F93" w14:paraId="7110539A" w14:textId="77777777" w:rsidTr="00A74514">
        <w:tc>
          <w:tcPr>
            <w:tcW w:w="4495" w:type="dxa"/>
          </w:tcPr>
          <w:p w14:paraId="773B3B5E" w14:textId="77777777" w:rsidR="001B2F93" w:rsidRPr="001B2F93" w:rsidRDefault="001B2F93" w:rsidP="001414F5">
            <w:pPr>
              <w:contextualSpacing/>
              <w:jc w:val="both"/>
              <w:rPr>
                <w:rFonts w:eastAsia="Calibri"/>
                <w:sz w:val="20"/>
                <w:szCs w:val="20"/>
                <w:u w:val="single"/>
              </w:rPr>
            </w:pPr>
            <w:r w:rsidRPr="001B2F93">
              <w:rPr>
                <w:rFonts w:eastAsia="Calibri"/>
                <w:sz w:val="20"/>
                <w:szCs w:val="20"/>
                <w:u w:val="single"/>
              </w:rPr>
              <w:lastRenderedPageBreak/>
              <w:t xml:space="preserve">Requirement 1.5 </w:t>
            </w:r>
          </w:p>
          <w:p w14:paraId="36616C2D" w14:textId="77777777" w:rsidR="001B2F93" w:rsidRDefault="001B2F93" w:rsidP="001414F5">
            <w:pPr>
              <w:contextualSpacing/>
              <w:jc w:val="both"/>
              <w:rPr>
                <w:rFonts w:eastAsia="Calibri"/>
                <w:sz w:val="20"/>
                <w:szCs w:val="20"/>
              </w:rPr>
            </w:pPr>
            <w:r w:rsidRPr="001B2F93">
              <w:rPr>
                <w:rFonts w:eastAsia="Calibri"/>
                <w:sz w:val="20"/>
                <w:szCs w:val="20"/>
              </w:rPr>
              <w:t>Work plan. The multi-stakeholder group is required to maintain a current work plan, fully costed and aligned with the reporting and Validation deadlines established by the EITI Board. The work plan must:</w:t>
            </w:r>
          </w:p>
          <w:p w14:paraId="664B72F4" w14:textId="77777777" w:rsidR="00665228" w:rsidRPr="001B2F93" w:rsidRDefault="00665228" w:rsidP="001414F5">
            <w:pPr>
              <w:contextualSpacing/>
              <w:jc w:val="both"/>
              <w:rPr>
                <w:rFonts w:eastAsia="Calibri"/>
                <w:sz w:val="20"/>
                <w:szCs w:val="20"/>
              </w:rPr>
            </w:pPr>
          </w:p>
          <w:p w14:paraId="527FCAE5" w14:textId="77777777" w:rsidR="001B2F93" w:rsidRPr="001B2F93" w:rsidRDefault="001B2F93" w:rsidP="001414F5">
            <w:pPr>
              <w:contextualSpacing/>
              <w:jc w:val="both"/>
              <w:rPr>
                <w:rFonts w:eastAsia="Calibri"/>
                <w:sz w:val="20"/>
                <w:szCs w:val="20"/>
              </w:rPr>
            </w:pPr>
            <w:r w:rsidRPr="001B2F93">
              <w:rPr>
                <w:rFonts w:eastAsia="Calibri"/>
                <w:sz w:val="20"/>
                <w:szCs w:val="20"/>
              </w:rPr>
              <w:t xml:space="preserve">a) Set EITI implementation objectives linked to the EITI Principles and reflect national priorities for the extractive industries. Multi-stakeholder groups are encouraged to explore innovative approaches to extending EITI implementation to increase the comprehensiveness of EITI reporting and public understanding of revenues and promote high standards of transparency and accountability in public life, government operations, and business. </w:t>
            </w:r>
          </w:p>
          <w:p w14:paraId="0B979726" w14:textId="77777777" w:rsidR="001B2F93" w:rsidRPr="001B2F93" w:rsidRDefault="001B2F93" w:rsidP="001414F5">
            <w:pPr>
              <w:contextualSpacing/>
              <w:jc w:val="both"/>
              <w:rPr>
                <w:rFonts w:eastAsia="Calibri"/>
                <w:sz w:val="20"/>
                <w:szCs w:val="20"/>
              </w:rPr>
            </w:pPr>
          </w:p>
          <w:p w14:paraId="518E4C1E" w14:textId="77777777" w:rsidR="001B2F93" w:rsidRPr="001B2F93" w:rsidRDefault="001B2F93" w:rsidP="001414F5">
            <w:pPr>
              <w:contextualSpacing/>
              <w:jc w:val="both"/>
              <w:rPr>
                <w:rFonts w:eastAsia="Calibri"/>
                <w:sz w:val="20"/>
                <w:szCs w:val="20"/>
              </w:rPr>
            </w:pPr>
            <w:r w:rsidRPr="001B2F93">
              <w:rPr>
                <w:rFonts w:eastAsia="Calibri"/>
                <w:sz w:val="20"/>
                <w:szCs w:val="20"/>
              </w:rPr>
              <w:t>b) Reflect the results of consultations with key stakeholders and be endorsed by the multi-stakeholder group.</w:t>
            </w:r>
          </w:p>
          <w:p w14:paraId="5B0B0765" w14:textId="77777777" w:rsidR="001B2F93" w:rsidRPr="001B2F93" w:rsidRDefault="001B2F93" w:rsidP="001414F5">
            <w:pPr>
              <w:contextualSpacing/>
              <w:jc w:val="both"/>
              <w:rPr>
                <w:rFonts w:eastAsia="Calibri"/>
                <w:sz w:val="20"/>
                <w:szCs w:val="20"/>
              </w:rPr>
            </w:pPr>
          </w:p>
          <w:p w14:paraId="51278821" w14:textId="77777777" w:rsidR="001B2F93" w:rsidRPr="001B2F93" w:rsidRDefault="001B2F93" w:rsidP="001414F5">
            <w:pPr>
              <w:contextualSpacing/>
              <w:jc w:val="both"/>
              <w:rPr>
                <w:rFonts w:eastAsia="Calibri"/>
                <w:sz w:val="20"/>
                <w:szCs w:val="20"/>
              </w:rPr>
            </w:pPr>
            <w:r w:rsidRPr="001B2F93">
              <w:rPr>
                <w:rFonts w:eastAsia="Calibri"/>
                <w:sz w:val="20"/>
                <w:szCs w:val="20"/>
              </w:rPr>
              <w:t>c) Include measurable and time-bound activities to achieve the agreed objectives. The scope of EITI implementation should be tailored to contribute to the objectives identified during the consultation process. The work plan must:</w:t>
            </w:r>
          </w:p>
          <w:p w14:paraId="749E3D0A" w14:textId="77777777" w:rsidR="001B2F93" w:rsidRPr="001B2F93" w:rsidRDefault="001B2F93" w:rsidP="001414F5">
            <w:pPr>
              <w:contextualSpacing/>
              <w:jc w:val="both"/>
              <w:rPr>
                <w:rFonts w:eastAsia="Calibri"/>
                <w:sz w:val="20"/>
                <w:szCs w:val="20"/>
              </w:rPr>
            </w:pPr>
          </w:p>
          <w:p w14:paraId="7598ADC7" w14:textId="77777777" w:rsidR="001B2F93" w:rsidRPr="001B2F93" w:rsidRDefault="001B2F93" w:rsidP="001414F5">
            <w:pPr>
              <w:contextualSpacing/>
              <w:jc w:val="both"/>
              <w:rPr>
                <w:rFonts w:eastAsia="Calibri"/>
                <w:sz w:val="20"/>
                <w:szCs w:val="20"/>
              </w:rPr>
            </w:pPr>
            <w:proofErr w:type="spellStart"/>
            <w:r w:rsidRPr="001B2F93">
              <w:rPr>
                <w:rFonts w:eastAsia="Calibri"/>
                <w:sz w:val="20"/>
                <w:szCs w:val="20"/>
              </w:rPr>
              <w:t>i</w:t>
            </w:r>
            <w:proofErr w:type="spellEnd"/>
            <w:r w:rsidRPr="001B2F93">
              <w:rPr>
                <w:rFonts w:eastAsia="Calibri"/>
                <w:sz w:val="20"/>
                <w:szCs w:val="20"/>
              </w:rPr>
              <w:t xml:space="preserve">. Assess and outline plans to address potential capacity constraints in government agencies, companies, and civil society that may hinder effective EITI implementation. </w:t>
            </w:r>
          </w:p>
          <w:p w14:paraId="7D4FA2F3" w14:textId="77777777" w:rsidR="001B2F93" w:rsidRPr="001B2F93" w:rsidRDefault="001B2F93" w:rsidP="001414F5">
            <w:pPr>
              <w:contextualSpacing/>
              <w:jc w:val="both"/>
              <w:rPr>
                <w:rFonts w:eastAsia="Calibri"/>
                <w:sz w:val="20"/>
                <w:szCs w:val="20"/>
              </w:rPr>
            </w:pPr>
          </w:p>
          <w:p w14:paraId="732B47A0" w14:textId="77777777" w:rsidR="001B2F93" w:rsidRPr="001B2F93" w:rsidRDefault="001B2F93" w:rsidP="001414F5">
            <w:pPr>
              <w:contextualSpacing/>
              <w:jc w:val="both"/>
              <w:rPr>
                <w:rFonts w:eastAsia="Calibri"/>
                <w:sz w:val="20"/>
                <w:szCs w:val="20"/>
              </w:rPr>
            </w:pPr>
            <w:r w:rsidRPr="001B2F93">
              <w:rPr>
                <w:rFonts w:eastAsia="Calibri"/>
                <w:sz w:val="20"/>
                <w:szCs w:val="20"/>
              </w:rPr>
              <w:t>ii. Address the scope of EITI reporting, including plans for addressing technical reporting aspects, such as comprehensiveness and data reliability (Requirements 4.1 and 4.9).</w:t>
            </w:r>
          </w:p>
          <w:p w14:paraId="5E67AEFF" w14:textId="77777777" w:rsidR="001B2F93" w:rsidRPr="001B2F93" w:rsidRDefault="001B2F93" w:rsidP="001414F5">
            <w:pPr>
              <w:contextualSpacing/>
              <w:jc w:val="both"/>
              <w:rPr>
                <w:rFonts w:eastAsia="Calibri"/>
                <w:sz w:val="20"/>
                <w:szCs w:val="20"/>
              </w:rPr>
            </w:pPr>
          </w:p>
          <w:p w14:paraId="4AB15FCD" w14:textId="77777777" w:rsidR="001B2F93" w:rsidRPr="001B2F93" w:rsidRDefault="001B2F93" w:rsidP="001414F5">
            <w:pPr>
              <w:contextualSpacing/>
              <w:jc w:val="both"/>
              <w:rPr>
                <w:rFonts w:eastAsia="Calibri"/>
                <w:sz w:val="20"/>
                <w:szCs w:val="20"/>
              </w:rPr>
            </w:pPr>
            <w:r w:rsidRPr="001B2F93">
              <w:rPr>
                <w:rFonts w:eastAsia="Calibri"/>
                <w:sz w:val="20"/>
                <w:szCs w:val="20"/>
              </w:rPr>
              <w:t xml:space="preserve">iii. Identify and outline plans to address any potential legal or regulatory obstacles to EITI implementation, including, if applicable, any plans to incorporate the </w:t>
            </w:r>
            <w:r w:rsidRPr="001B2F93">
              <w:rPr>
                <w:rFonts w:eastAsia="Calibri"/>
                <w:sz w:val="20"/>
                <w:szCs w:val="20"/>
              </w:rPr>
              <w:lastRenderedPageBreak/>
              <w:t xml:space="preserve">EITI Requirements within national legislation or regulation. </w:t>
            </w:r>
          </w:p>
          <w:p w14:paraId="11B51C48" w14:textId="77777777" w:rsidR="001B2F93" w:rsidRPr="001B2F93" w:rsidRDefault="001B2F93" w:rsidP="001414F5">
            <w:pPr>
              <w:contextualSpacing/>
              <w:jc w:val="both"/>
              <w:rPr>
                <w:rFonts w:eastAsia="Calibri"/>
                <w:sz w:val="20"/>
                <w:szCs w:val="20"/>
              </w:rPr>
            </w:pPr>
          </w:p>
          <w:p w14:paraId="6C0AC3B4" w14:textId="77777777" w:rsidR="001B2F93" w:rsidRPr="001B2F93" w:rsidRDefault="001B2F93" w:rsidP="001414F5">
            <w:pPr>
              <w:contextualSpacing/>
              <w:jc w:val="both"/>
              <w:rPr>
                <w:rFonts w:eastAsia="Calibri"/>
                <w:sz w:val="20"/>
                <w:szCs w:val="20"/>
              </w:rPr>
            </w:pPr>
            <w:r w:rsidRPr="001B2F93">
              <w:rPr>
                <w:rFonts w:eastAsia="Calibri"/>
                <w:sz w:val="20"/>
                <w:szCs w:val="20"/>
              </w:rPr>
              <w:t>iv. Outline the multi-stakeholder group’s plans for implementing Validation and EITI reporting recommendations.</w:t>
            </w:r>
          </w:p>
          <w:p w14:paraId="7402D084" w14:textId="77777777" w:rsidR="001B2F93" w:rsidRPr="001B2F93" w:rsidRDefault="001B2F93" w:rsidP="001414F5">
            <w:pPr>
              <w:contextualSpacing/>
              <w:jc w:val="both"/>
              <w:rPr>
                <w:rFonts w:eastAsia="Calibri"/>
                <w:sz w:val="20"/>
                <w:szCs w:val="20"/>
              </w:rPr>
            </w:pPr>
          </w:p>
          <w:p w14:paraId="2B06492C" w14:textId="77777777" w:rsidR="001B2F93" w:rsidRPr="001B2F93" w:rsidRDefault="001B2F93" w:rsidP="001414F5">
            <w:pPr>
              <w:contextualSpacing/>
              <w:jc w:val="both"/>
              <w:rPr>
                <w:rFonts w:eastAsia="Calibri"/>
                <w:sz w:val="20"/>
                <w:szCs w:val="20"/>
              </w:rPr>
            </w:pPr>
            <w:r w:rsidRPr="001B2F93">
              <w:rPr>
                <w:rFonts w:eastAsia="Calibri"/>
                <w:sz w:val="20"/>
                <w:szCs w:val="20"/>
              </w:rPr>
              <w:t xml:space="preserve">d) Identify domestic and external funding sources and technical assistance where appropriate to ensure timely implementation of the agreed work plan. </w:t>
            </w:r>
          </w:p>
          <w:p w14:paraId="2B31E225" w14:textId="77777777" w:rsidR="001B2F93" w:rsidRPr="001B2F93" w:rsidRDefault="001B2F93" w:rsidP="001414F5">
            <w:pPr>
              <w:contextualSpacing/>
              <w:jc w:val="both"/>
              <w:rPr>
                <w:rFonts w:eastAsia="Calibri"/>
                <w:sz w:val="20"/>
                <w:szCs w:val="20"/>
              </w:rPr>
            </w:pPr>
          </w:p>
          <w:p w14:paraId="33BD7205" w14:textId="77777777" w:rsidR="001B2F93" w:rsidRDefault="001B2F93" w:rsidP="001414F5">
            <w:pPr>
              <w:contextualSpacing/>
              <w:jc w:val="both"/>
              <w:rPr>
                <w:rFonts w:eastAsia="Calibri"/>
                <w:sz w:val="20"/>
                <w:szCs w:val="20"/>
              </w:rPr>
            </w:pPr>
            <w:r w:rsidRPr="001B2F93">
              <w:rPr>
                <w:rFonts w:eastAsia="Calibri"/>
                <w:sz w:val="20"/>
                <w:szCs w:val="20"/>
              </w:rPr>
              <w:t xml:space="preserve">e) Be made widely available to the public, for example, published on the national EITI website and/or other relevant ministry and agency websites, in print media, or in places that are easily accessible to the public. </w:t>
            </w:r>
          </w:p>
          <w:p w14:paraId="7C7E996D" w14:textId="77777777" w:rsidR="00CC7750" w:rsidRPr="001B2F93" w:rsidRDefault="00CC7750" w:rsidP="001414F5">
            <w:pPr>
              <w:contextualSpacing/>
              <w:jc w:val="both"/>
              <w:rPr>
                <w:rFonts w:eastAsia="Calibri"/>
                <w:sz w:val="20"/>
                <w:szCs w:val="20"/>
              </w:rPr>
            </w:pPr>
          </w:p>
          <w:p w14:paraId="05CBF5B9" w14:textId="77777777" w:rsidR="001B2F93" w:rsidRPr="001B2F93" w:rsidRDefault="001B2F93" w:rsidP="001414F5">
            <w:pPr>
              <w:contextualSpacing/>
              <w:jc w:val="both"/>
              <w:rPr>
                <w:rFonts w:eastAsia="Calibri"/>
                <w:sz w:val="20"/>
                <w:szCs w:val="20"/>
              </w:rPr>
            </w:pPr>
            <w:r w:rsidRPr="001B2F93">
              <w:rPr>
                <w:rFonts w:eastAsia="Calibri"/>
                <w:sz w:val="20"/>
                <w:szCs w:val="20"/>
              </w:rPr>
              <w:t xml:space="preserve">f) Be reviewed and updated annually. In reviewing the work plan, the multi-stakeholder group should consider extending the detail and scope of EITI reporting, including addressing issues such as revenue management and expenditure (5.3), transportation payments (4.4), discretionary social expenses (6.1.b), ad-hoc sub-national transfers (5.2.b), beneficial ownership (2.5) and contracts (2.4). </w:t>
            </w:r>
          </w:p>
          <w:p w14:paraId="7C9E6DC1" w14:textId="77777777" w:rsidR="001B2F93" w:rsidRPr="001B2F93" w:rsidRDefault="001B2F93" w:rsidP="001414F5">
            <w:pPr>
              <w:contextualSpacing/>
              <w:jc w:val="both"/>
              <w:rPr>
                <w:rFonts w:eastAsia="Calibri"/>
                <w:sz w:val="20"/>
                <w:szCs w:val="20"/>
              </w:rPr>
            </w:pPr>
          </w:p>
          <w:p w14:paraId="64E5841D" w14:textId="77777777" w:rsidR="001B2F93" w:rsidRPr="001B2F93" w:rsidRDefault="001B2F93" w:rsidP="001414F5">
            <w:pPr>
              <w:contextualSpacing/>
              <w:jc w:val="both"/>
              <w:rPr>
                <w:rFonts w:eastAsia="Calibri"/>
                <w:sz w:val="20"/>
                <w:szCs w:val="20"/>
              </w:rPr>
            </w:pPr>
            <w:r w:rsidRPr="001B2F93">
              <w:rPr>
                <w:rFonts w:eastAsia="Calibri"/>
                <w:sz w:val="20"/>
                <w:szCs w:val="20"/>
              </w:rPr>
              <w:t>Under Requirement 1.4.b (viii), the multi-stakeholder group must document its discussions and decisions.</w:t>
            </w:r>
          </w:p>
          <w:p w14:paraId="540A483E" w14:textId="77777777" w:rsidR="001B2F93" w:rsidRPr="001B2F93" w:rsidRDefault="001B2F93" w:rsidP="001414F5">
            <w:pPr>
              <w:contextualSpacing/>
              <w:jc w:val="both"/>
              <w:rPr>
                <w:rFonts w:eastAsia="Calibri"/>
                <w:sz w:val="20"/>
                <w:szCs w:val="20"/>
              </w:rPr>
            </w:pPr>
          </w:p>
          <w:p w14:paraId="29824818" w14:textId="77777777" w:rsidR="001B2F93" w:rsidRPr="001B2F93" w:rsidRDefault="001B2F93" w:rsidP="001414F5">
            <w:pPr>
              <w:contextualSpacing/>
              <w:jc w:val="both"/>
              <w:rPr>
                <w:rFonts w:eastAsia="Calibri"/>
                <w:sz w:val="20"/>
                <w:szCs w:val="20"/>
              </w:rPr>
            </w:pPr>
            <w:r w:rsidRPr="001B2F93">
              <w:rPr>
                <w:rFonts w:eastAsia="Calibri"/>
                <w:sz w:val="20"/>
                <w:szCs w:val="20"/>
              </w:rPr>
              <w:t>g) Include a timetable for implementation aligned with the reporting and Validation deadlines established by the EITI Board (see provision 8), which considers administrative requirements such as procurement processes and funding.</w:t>
            </w:r>
          </w:p>
        </w:tc>
        <w:tc>
          <w:tcPr>
            <w:tcW w:w="5400" w:type="dxa"/>
          </w:tcPr>
          <w:p w14:paraId="71470F58" w14:textId="77777777" w:rsidR="005F6FD0" w:rsidRDefault="005F6FD0" w:rsidP="005F6FD0">
            <w:pPr>
              <w:contextualSpacing/>
              <w:jc w:val="both"/>
              <w:rPr>
                <w:rFonts w:eastAsia="Calibri"/>
                <w:b/>
                <w:bCs/>
                <w:sz w:val="20"/>
                <w:szCs w:val="20"/>
                <w:lang/>
              </w:rPr>
            </w:pPr>
            <w:r w:rsidRPr="005F6FD0">
              <w:rPr>
                <w:rFonts w:eastAsia="Calibri"/>
                <w:b/>
                <w:bCs/>
                <w:sz w:val="20"/>
                <w:szCs w:val="20"/>
                <w:lang/>
              </w:rPr>
              <w:lastRenderedPageBreak/>
              <w:t>Workplan 2025/2026</w:t>
            </w:r>
          </w:p>
          <w:p w14:paraId="0F83E512" w14:textId="77777777" w:rsidR="00BF32B5" w:rsidRPr="005F6FD0" w:rsidRDefault="00BF32B5" w:rsidP="005F6FD0">
            <w:pPr>
              <w:contextualSpacing/>
              <w:jc w:val="both"/>
              <w:rPr>
                <w:rFonts w:eastAsia="Calibri"/>
                <w:b/>
                <w:bCs/>
                <w:sz w:val="20"/>
                <w:szCs w:val="20"/>
                <w:lang/>
              </w:rPr>
            </w:pPr>
          </w:p>
          <w:p w14:paraId="4E24904A" w14:textId="77777777" w:rsidR="005F6FD0" w:rsidRPr="005F6FD0" w:rsidRDefault="005F6FD0" w:rsidP="005F6FD0">
            <w:pPr>
              <w:contextualSpacing/>
              <w:jc w:val="both"/>
              <w:rPr>
                <w:rFonts w:eastAsia="Calibri"/>
                <w:sz w:val="20"/>
                <w:szCs w:val="20"/>
                <w:lang/>
              </w:rPr>
            </w:pPr>
            <w:r w:rsidRPr="005F6FD0">
              <w:rPr>
                <w:rFonts w:eastAsia="Calibri"/>
                <w:sz w:val="20"/>
                <w:szCs w:val="20"/>
                <w:lang/>
              </w:rPr>
              <w:t>The Workplan for 2025/2026 was developed in 2025 in line with the EITI 2023 Standard, fully costed, and containing measurable, time-bound deliverables aligned with EITI commitments. While the plan was finalized in 2025, several activities carried over into 2026, making it the 2025/2026 Workplan. It incorporates deliverables rolled over from the 2024–2025 workplan that were not completed due to challenges internal and external to the MSG, as well as new activities to address gaps identified in fulfilling EITI requirements.</w:t>
            </w:r>
          </w:p>
          <w:p w14:paraId="21863058" w14:textId="77777777" w:rsidR="00BF32B5" w:rsidRPr="00AF450E" w:rsidRDefault="00BF32B5" w:rsidP="00BF32B5">
            <w:pPr>
              <w:contextualSpacing/>
              <w:jc w:val="both"/>
              <w:rPr>
                <w:rFonts w:eastAsia="Calibri"/>
                <w:sz w:val="20"/>
                <w:szCs w:val="20"/>
                <w:lang/>
              </w:rPr>
            </w:pPr>
          </w:p>
          <w:p w14:paraId="6BC04152" w14:textId="51F79118" w:rsidR="005F6FD0" w:rsidRPr="005F6FD0" w:rsidRDefault="005F6FD0" w:rsidP="00BF32B5">
            <w:pPr>
              <w:contextualSpacing/>
              <w:jc w:val="both"/>
              <w:rPr>
                <w:rFonts w:eastAsia="Calibri"/>
                <w:sz w:val="20"/>
                <w:szCs w:val="20"/>
                <w:lang/>
              </w:rPr>
            </w:pPr>
            <w:r w:rsidRPr="005F6FD0">
              <w:rPr>
                <w:rFonts w:eastAsia="Calibri"/>
                <w:sz w:val="20"/>
                <w:szCs w:val="20"/>
                <w:lang/>
              </w:rPr>
              <w:t>Key activity areas are as follows:</w:t>
            </w:r>
          </w:p>
          <w:p w14:paraId="4996C9D8" w14:textId="77777777" w:rsidR="005F6FD0" w:rsidRPr="005F6FD0" w:rsidRDefault="005F6FD0" w:rsidP="005F6FD0">
            <w:pPr>
              <w:numPr>
                <w:ilvl w:val="0"/>
                <w:numId w:val="112"/>
              </w:numPr>
              <w:contextualSpacing/>
              <w:jc w:val="both"/>
              <w:rPr>
                <w:rFonts w:eastAsia="Calibri"/>
                <w:sz w:val="20"/>
                <w:szCs w:val="20"/>
                <w:lang/>
              </w:rPr>
            </w:pPr>
            <w:r w:rsidRPr="005F6FD0">
              <w:rPr>
                <w:rFonts w:eastAsia="Calibri"/>
                <w:sz w:val="20"/>
                <w:szCs w:val="20"/>
                <w:lang/>
              </w:rPr>
              <w:t xml:space="preserve">Beneficial Ownership </w:t>
            </w:r>
          </w:p>
          <w:p w14:paraId="38CA4267" w14:textId="77777777" w:rsidR="005F6FD0" w:rsidRPr="005F6FD0" w:rsidRDefault="005F6FD0" w:rsidP="005F6FD0">
            <w:pPr>
              <w:numPr>
                <w:ilvl w:val="0"/>
                <w:numId w:val="112"/>
              </w:numPr>
              <w:contextualSpacing/>
              <w:jc w:val="both"/>
              <w:rPr>
                <w:rFonts w:eastAsia="Calibri"/>
                <w:sz w:val="20"/>
                <w:szCs w:val="20"/>
                <w:lang/>
              </w:rPr>
            </w:pPr>
            <w:r w:rsidRPr="005F6FD0">
              <w:rPr>
                <w:rFonts w:eastAsia="Calibri"/>
                <w:sz w:val="20"/>
                <w:szCs w:val="20"/>
                <w:lang/>
              </w:rPr>
              <w:t xml:space="preserve">Systematic Disclosure </w:t>
            </w:r>
          </w:p>
          <w:p w14:paraId="42624894" w14:textId="77777777" w:rsidR="005F6FD0" w:rsidRPr="005F6FD0" w:rsidRDefault="005F6FD0" w:rsidP="005F6FD0">
            <w:pPr>
              <w:numPr>
                <w:ilvl w:val="0"/>
                <w:numId w:val="112"/>
              </w:numPr>
              <w:contextualSpacing/>
              <w:jc w:val="both"/>
              <w:rPr>
                <w:rFonts w:eastAsia="Calibri"/>
                <w:sz w:val="20"/>
                <w:szCs w:val="20"/>
                <w:lang/>
              </w:rPr>
            </w:pPr>
            <w:r w:rsidRPr="005F6FD0">
              <w:rPr>
                <w:rFonts w:eastAsia="Calibri"/>
                <w:sz w:val="20"/>
                <w:szCs w:val="20"/>
                <w:lang/>
              </w:rPr>
              <w:t xml:space="preserve">Contract Transparency </w:t>
            </w:r>
          </w:p>
          <w:p w14:paraId="4F872377" w14:textId="77777777" w:rsidR="005F6FD0" w:rsidRPr="005F6FD0" w:rsidRDefault="005F6FD0" w:rsidP="005F6FD0">
            <w:pPr>
              <w:numPr>
                <w:ilvl w:val="0"/>
                <w:numId w:val="112"/>
              </w:numPr>
              <w:contextualSpacing/>
              <w:jc w:val="both"/>
              <w:rPr>
                <w:rFonts w:eastAsia="Calibri"/>
                <w:sz w:val="20"/>
                <w:szCs w:val="20"/>
                <w:lang/>
              </w:rPr>
            </w:pPr>
            <w:r w:rsidRPr="005F6FD0">
              <w:rPr>
                <w:rFonts w:eastAsia="Calibri"/>
                <w:sz w:val="20"/>
                <w:szCs w:val="20"/>
                <w:lang/>
              </w:rPr>
              <w:t xml:space="preserve">Licenses Register </w:t>
            </w:r>
          </w:p>
          <w:p w14:paraId="0E6873EF" w14:textId="77777777" w:rsidR="005F6FD0" w:rsidRPr="005F6FD0" w:rsidRDefault="005F6FD0" w:rsidP="005F6FD0">
            <w:pPr>
              <w:numPr>
                <w:ilvl w:val="0"/>
                <w:numId w:val="112"/>
              </w:numPr>
              <w:contextualSpacing/>
              <w:jc w:val="both"/>
              <w:rPr>
                <w:rFonts w:eastAsia="Calibri"/>
                <w:sz w:val="20"/>
                <w:szCs w:val="20"/>
                <w:lang/>
              </w:rPr>
            </w:pPr>
            <w:r w:rsidRPr="005F6FD0">
              <w:rPr>
                <w:rFonts w:eastAsia="Calibri"/>
                <w:sz w:val="20"/>
                <w:szCs w:val="20"/>
                <w:lang/>
              </w:rPr>
              <w:t xml:space="preserve">Anti-Corruption </w:t>
            </w:r>
          </w:p>
          <w:p w14:paraId="58345A49" w14:textId="77777777" w:rsidR="005F6FD0" w:rsidRPr="005F6FD0" w:rsidRDefault="005F6FD0" w:rsidP="005F6FD0">
            <w:pPr>
              <w:numPr>
                <w:ilvl w:val="0"/>
                <w:numId w:val="112"/>
              </w:numPr>
              <w:contextualSpacing/>
              <w:jc w:val="both"/>
              <w:rPr>
                <w:rFonts w:eastAsia="Calibri"/>
                <w:sz w:val="20"/>
                <w:szCs w:val="20"/>
                <w:lang/>
              </w:rPr>
            </w:pPr>
            <w:r w:rsidRPr="005F6FD0">
              <w:rPr>
                <w:rFonts w:eastAsia="Calibri"/>
                <w:sz w:val="20"/>
                <w:szCs w:val="20"/>
                <w:lang/>
              </w:rPr>
              <w:t xml:space="preserve">Gender </w:t>
            </w:r>
          </w:p>
          <w:p w14:paraId="6B7880C7" w14:textId="77777777" w:rsidR="005F6FD0" w:rsidRPr="005F6FD0" w:rsidRDefault="005F6FD0" w:rsidP="005F6FD0">
            <w:pPr>
              <w:numPr>
                <w:ilvl w:val="0"/>
                <w:numId w:val="112"/>
              </w:numPr>
              <w:contextualSpacing/>
              <w:jc w:val="both"/>
              <w:rPr>
                <w:rFonts w:eastAsia="Calibri"/>
                <w:sz w:val="20"/>
                <w:szCs w:val="20"/>
                <w:lang/>
              </w:rPr>
            </w:pPr>
            <w:r w:rsidRPr="005F6FD0">
              <w:rPr>
                <w:rFonts w:eastAsia="Calibri"/>
                <w:sz w:val="20"/>
                <w:szCs w:val="20"/>
                <w:lang/>
              </w:rPr>
              <w:t xml:space="preserve">Data Quality and Assurance </w:t>
            </w:r>
          </w:p>
          <w:p w14:paraId="08F13F78" w14:textId="77777777" w:rsidR="005F6FD0" w:rsidRPr="005F6FD0" w:rsidRDefault="005F6FD0" w:rsidP="005F6FD0">
            <w:pPr>
              <w:numPr>
                <w:ilvl w:val="0"/>
                <w:numId w:val="112"/>
              </w:numPr>
              <w:contextualSpacing/>
              <w:jc w:val="both"/>
              <w:rPr>
                <w:rFonts w:eastAsia="Calibri"/>
                <w:sz w:val="20"/>
                <w:szCs w:val="20"/>
                <w:lang/>
              </w:rPr>
            </w:pPr>
            <w:r w:rsidRPr="005F6FD0">
              <w:rPr>
                <w:rFonts w:eastAsia="Calibri"/>
                <w:sz w:val="20"/>
                <w:szCs w:val="20"/>
                <w:lang/>
              </w:rPr>
              <w:t xml:space="preserve">Energy Transition </w:t>
            </w:r>
          </w:p>
          <w:p w14:paraId="2A1C84BC" w14:textId="77777777" w:rsidR="005F6FD0" w:rsidRPr="005F6FD0" w:rsidRDefault="005F6FD0" w:rsidP="005F6FD0">
            <w:pPr>
              <w:numPr>
                <w:ilvl w:val="0"/>
                <w:numId w:val="112"/>
              </w:numPr>
              <w:contextualSpacing/>
              <w:jc w:val="both"/>
              <w:rPr>
                <w:rFonts w:eastAsia="Calibri"/>
                <w:sz w:val="20"/>
                <w:szCs w:val="20"/>
                <w:lang/>
              </w:rPr>
            </w:pPr>
            <w:r w:rsidRPr="005F6FD0">
              <w:rPr>
                <w:rFonts w:eastAsia="Calibri"/>
                <w:sz w:val="20"/>
                <w:szCs w:val="20"/>
                <w:lang/>
              </w:rPr>
              <w:t xml:space="preserve">Public Engagement and Debate </w:t>
            </w:r>
          </w:p>
          <w:p w14:paraId="231CE53C" w14:textId="77777777" w:rsidR="005F6FD0" w:rsidRPr="005F6FD0" w:rsidRDefault="005F6FD0" w:rsidP="005F6FD0">
            <w:pPr>
              <w:numPr>
                <w:ilvl w:val="0"/>
                <w:numId w:val="112"/>
              </w:numPr>
              <w:contextualSpacing/>
              <w:jc w:val="both"/>
              <w:rPr>
                <w:rFonts w:eastAsia="Calibri"/>
                <w:sz w:val="20"/>
                <w:szCs w:val="20"/>
                <w:lang/>
              </w:rPr>
            </w:pPr>
            <w:r w:rsidRPr="005F6FD0">
              <w:rPr>
                <w:rFonts w:eastAsia="Calibri"/>
                <w:sz w:val="20"/>
                <w:szCs w:val="20"/>
                <w:lang/>
              </w:rPr>
              <w:t xml:space="preserve">Preparation of the FY 2023 Report </w:t>
            </w:r>
          </w:p>
          <w:p w14:paraId="2692E678" w14:textId="77777777" w:rsidR="005F6FD0" w:rsidRPr="005F6FD0" w:rsidRDefault="005F6FD0" w:rsidP="005F6FD0">
            <w:pPr>
              <w:numPr>
                <w:ilvl w:val="0"/>
                <w:numId w:val="112"/>
              </w:numPr>
              <w:contextualSpacing/>
              <w:jc w:val="both"/>
              <w:rPr>
                <w:rFonts w:eastAsia="Calibri"/>
                <w:sz w:val="20"/>
                <w:szCs w:val="20"/>
                <w:lang/>
              </w:rPr>
            </w:pPr>
            <w:r w:rsidRPr="005F6FD0">
              <w:rPr>
                <w:rFonts w:eastAsia="Calibri"/>
                <w:sz w:val="20"/>
                <w:szCs w:val="20"/>
                <w:lang/>
              </w:rPr>
              <w:t xml:space="preserve">Preparation for EITI 2nd Validation </w:t>
            </w:r>
          </w:p>
          <w:p w14:paraId="01BD8EAA" w14:textId="77777777" w:rsidR="00BF32B5" w:rsidRPr="00AF450E" w:rsidRDefault="00BF32B5" w:rsidP="00BF32B5">
            <w:pPr>
              <w:contextualSpacing/>
              <w:jc w:val="both"/>
              <w:rPr>
                <w:rFonts w:eastAsia="Calibri"/>
                <w:sz w:val="20"/>
                <w:szCs w:val="20"/>
                <w:lang/>
              </w:rPr>
            </w:pPr>
          </w:p>
          <w:p w14:paraId="6CA061DB" w14:textId="33F965A7" w:rsidR="005F6FD0" w:rsidRPr="005F6FD0" w:rsidRDefault="005F6FD0" w:rsidP="00BF32B5">
            <w:pPr>
              <w:contextualSpacing/>
              <w:jc w:val="both"/>
              <w:rPr>
                <w:rFonts w:eastAsia="Calibri"/>
                <w:sz w:val="20"/>
                <w:szCs w:val="20"/>
                <w:lang/>
              </w:rPr>
            </w:pPr>
            <w:r w:rsidRPr="005F6FD0">
              <w:rPr>
                <w:rFonts w:eastAsia="Calibri"/>
                <w:sz w:val="20"/>
                <w:szCs w:val="20"/>
                <w:lang/>
              </w:rPr>
              <w:t>Implementation activities focus on addressing gaps identified in the FY 2022 EITI Report, engaging entities to mainstream and systematically disclose information, and establishing systems, procedures, and measures to effectively disseminate information on the performance of the mining and oil and gas sectors, including how revenues are distributed for the benefit of citizens.</w:t>
            </w:r>
          </w:p>
          <w:p w14:paraId="63A30E19" w14:textId="77777777" w:rsidR="00BF32B5" w:rsidRPr="00AF450E" w:rsidRDefault="00BF32B5" w:rsidP="00BF32B5">
            <w:pPr>
              <w:contextualSpacing/>
              <w:jc w:val="both"/>
              <w:rPr>
                <w:rFonts w:eastAsia="Calibri"/>
                <w:sz w:val="20"/>
                <w:szCs w:val="20"/>
                <w:lang/>
              </w:rPr>
            </w:pPr>
          </w:p>
          <w:p w14:paraId="5FD70DB6" w14:textId="6016BED0" w:rsidR="005F6FD0" w:rsidRPr="005F6FD0" w:rsidRDefault="005F6FD0" w:rsidP="00BF32B5">
            <w:pPr>
              <w:contextualSpacing/>
              <w:jc w:val="both"/>
              <w:rPr>
                <w:rFonts w:eastAsia="Calibri"/>
                <w:sz w:val="20"/>
                <w:szCs w:val="20"/>
                <w:lang/>
              </w:rPr>
            </w:pPr>
            <w:r w:rsidRPr="005F6FD0">
              <w:rPr>
                <w:rFonts w:eastAsia="Calibri"/>
                <w:sz w:val="20"/>
                <w:szCs w:val="20"/>
                <w:lang/>
              </w:rPr>
              <w:t>The work plan is funded primarily by the Government of Guyana through budgetary allocations of the Ministry of Natural Resources, with additional support from the World Bank through the GRMPR Project for specific consultancy activities.</w:t>
            </w:r>
          </w:p>
          <w:p w14:paraId="716065EC" w14:textId="77777777" w:rsidR="00016429" w:rsidRDefault="00016429" w:rsidP="00016429">
            <w:pPr>
              <w:contextualSpacing/>
              <w:jc w:val="both"/>
              <w:rPr>
                <w:rFonts w:eastAsia="Calibri"/>
                <w:sz w:val="20"/>
                <w:szCs w:val="20"/>
                <w:lang/>
              </w:rPr>
            </w:pPr>
          </w:p>
          <w:p w14:paraId="5835E265" w14:textId="40394D89" w:rsidR="005F6FD0" w:rsidRPr="00AF450E" w:rsidRDefault="005F6FD0" w:rsidP="00016429">
            <w:pPr>
              <w:contextualSpacing/>
              <w:jc w:val="both"/>
              <w:rPr>
                <w:rFonts w:eastAsia="Calibri"/>
                <w:sz w:val="20"/>
                <w:szCs w:val="20"/>
                <w:lang/>
              </w:rPr>
            </w:pPr>
            <w:r w:rsidRPr="005F6FD0">
              <w:rPr>
                <w:rFonts w:eastAsia="Calibri"/>
                <w:sz w:val="20"/>
                <w:szCs w:val="20"/>
                <w:lang/>
              </w:rPr>
              <w:t xml:space="preserve">The draft Workplan covers the period 1 September to 31 December 2025, coinciding with the commencement of the new </w:t>
            </w:r>
            <w:r w:rsidRPr="005F6FD0">
              <w:rPr>
                <w:rFonts w:eastAsia="Calibri"/>
                <w:sz w:val="20"/>
                <w:szCs w:val="20"/>
                <w:lang/>
              </w:rPr>
              <w:lastRenderedPageBreak/>
              <w:t>MSG in August 2025. The 81st MSG, in September 2025, requested that the Workplan, Validation, and TOR Committee review the 2025/2026 Workplan. Following three dedicated meetings, the Committee completed the review. At its 83rd Meeting in November 2025, the MSG reached consensus on the Workplan, with feedback from constituency consultations requiring no changes.</w:t>
            </w:r>
          </w:p>
          <w:p w14:paraId="42FCC4BE" w14:textId="77777777" w:rsidR="001F358D" w:rsidRPr="005F6FD0" w:rsidRDefault="001F358D" w:rsidP="00016429">
            <w:pPr>
              <w:contextualSpacing/>
              <w:jc w:val="both"/>
              <w:rPr>
                <w:rFonts w:eastAsia="Calibri"/>
                <w:sz w:val="20"/>
                <w:szCs w:val="20"/>
                <w:lang/>
              </w:rPr>
            </w:pPr>
          </w:p>
          <w:p w14:paraId="263B3062" w14:textId="1B7F7BE6" w:rsidR="005F6FD0" w:rsidRDefault="005F6FD0" w:rsidP="001F358D">
            <w:pPr>
              <w:contextualSpacing/>
              <w:jc w:val="both"/>
              <w:rPr>
                <w:rFonts w:eastAsia="Calibri"/>
                <w:sz w:val="20"/>
                <w:szCs w:val="20"/>
                <w:lang/>
              </w:rPr>
            </w:pPr>
            <w:r w:rsidRPr="005F6FD0">
              <w:rPr>
                <w:rFonts w:eastAsia="Calibri"/>
                <w:sz w:val="20"/>
                <w:szCs w:val="20"/>
                <w:lang/>
              </w:rPr>
              <w:t xml:space="preserve">The 2025/2026 Workplan is published on the GYEITI website: </w:t>
            </w:r>
            <w:hyperlink r:id="rId27" w:history="1">
              <w:r w:rsidRPr="005F6FD0">
                <w:rPr>
                  <w:rStyle w:val="Hyperlink"/>
                  <w:rFonts w:eastAsia="Calibri"/>
                  <w:b/>
                  <w:bCs/>
                  <w:sz w:val="20"/>
                  <w:szCs w:val="20"/>
                  <w:lang/>
                </w:rPr>
                <w:t>Workplan 2025–2026 – EITI</w:t>
              </w:r>
              <w:r w:rsidRPr="005F6FD0">
                <w:rPr>
                  <w:rStyle w:val="Hyperlink"/>
                  <w:rFonts w:eastAsia="Calibri"/>
                  <w:sz w:val="20"/>
                  <w:szCs w:val="20"/>
                  <w:lang/>
                </w:rPr>
                <w:t>.</w:t>
              </w:r>
            </w:hyperlink>
            <w:r w:rsidR="005D7A22">
              <w:rPr>
                <w:rFonts w:eastAsia="Calibri"/>
                <w:b/>
                <w:bCs/>
                <w:sz w:val="20"/>
                <w:szCs w:val="20"/>
                <w:lang/>
              </w:rPr>
              <w:t>.</w:t>
            </w:r>
          </w:p>
          <w:p w14:paraId="0E1ECB99" w14:textId="77777777" w:rsidR="001F358D" w:rsidRPr="005F6FD0" w:rsidRDefault="001F358D" w:rsidP="001F358D">
            <w:pPr>
              <w:contextualSpacing/>
              <w:jc w:val="both"/>
              <w:rPr>
                <w:rFonts w:eastAsia="Calibri"/>
                <w:sz w:val="20"/>
                <w:szCs w:val="20"/>
                <w:lang/>
              </w:rPr>
            </w:pPr>
          </w:p>
          <w:p w14:paraId="30D16150" w14:textId="77777777" w:rsidR="00BD008D" w:rsidRPr="00AF450E" w:rsidRDefault="005F6FD0" w:rsidP="001F358D">
            <w:pPr>
              <w:contextualSpacing/>
              <w:jc w:val="both"/>
              <w:rPr>
                <w:rFonts w:eastAsia="Calibri"/>
                <w:sz w:val="20"/>
                <w:szCs w:val="20"/>
                <w:lang/>
              </w:rPr>
            </w:pPr>
            <w:r w:rsidRPr="005F6FD0">
              <w:rPr>
                <w:rFonts w:eastAsia="Calibri"/>
                <w:sz w:val="20"/>
                <w:szCs w:val="20"/>
                <w:lang/>
              </w:rPr>
              <w:t xml:space="preserve">Preparation for Guyana’s 2nd Validation was prioritized by the Secretariat. Special attention was given to completing the pre-validation templates under the guidance of World Bank Consultant Sam Tokpah. </w:t>
            </w:r>
          </w:p>
          <w:p w14:paraId="691B4C2F" w14:textId="77777777" w:rsidR="00BD008D" w:rsidRPr="00AF450E" w:rsidRDefault="00BD008D" w:rsidP="001F358D">
            <w:pPr>
              <w:contextualSpacing/>
              <w:jc w:val="both"/>
              <w:rPr>
                <w:rFonts w:eastAsia="Calibri"/>
                <w:sz w:val="20"/>
                <w:szCs w:val="20"/>
                <w:lang/>
              </w:rPr>
            </w:pPr>
          </w:p>
          <w:p w14:paraId="47BBE476" w14:textId="6B8F0763" w:rsidR="005F6FD0" w:rsidRPr="00AF450E" w:rsidRDefault="005F6FD0" w:rsidP="001F358D">
            <w:pPr>
              <w:contextualSpacing/>
              <w:jc w:val="both"/>
              <w:rPr>
                <w:rFonts w:eastAsia="Calibri"/>
                <w:sz w:val="20"/>
                <w:szCs w:val="20"/>
                <w:lang/>
              </w:rPr>
            </w:pPr>
            <w:r w:rsidRPr="005F6FD0">
              <w:rPr>
                <w:rFonts w:eastAsia="Calibri"/>
                <w:sz w:val="20"/>
                <w:szCs w:val="20"/>
                <w:lang/>
              </w:rPr>
              <w:t>On 28 May 2025, EITI International and the consultant held a meeting with GYEITI to discuss preparation, with a pre-validation visit initially scheduled for July 2025; however, the visit did not materialize. The Secretariat and MSG focused on completing templates on Outcomes and Impacts, Stakeholders’ Engagement, and Transparency.</w:t>
            </w:r>
          </w:p>
          <w:p w14:paraId="3AF9A1FB" w14:textId="77777777" w:rsidR="00AF450E" w:rsidRPr="005F6FD0" w:rsidRDefault="00AF450E" w:rsidP="001F358D">
            <w:pPr>
              <w:contextualSpacing/>
              <w:jc w:val="both"/>
              <w:rPr>
                <w:rFonts w:eastAsia="Calibri"/>
                <w:sz w:val="20"/>
                <w:szCs w:val="20"/>
                <w:lang/>
              </w:rPr>
            </w:pPr>
          </w:p>
          <w:p w14:paraId="0E3859F0" w14:textId="77777777" w:rsidR="005F6FD0" w:rsidRPr="005F6FD0" w:rsidRDefault="005F6FD0" w:rsidP="00AF450E">
            <w:pPr>
              <w:contextualSpacing/>
              <w:jc w:val="both"/>
              <w:rPr>
                <w:rFonts w:eastAsia="Calibri"/>
                <w:sz w:val="20"/>
                <w:szCs w:val="20"/>
                <w:lang/>
              </w:rPr>
            </w:pPr>
            <w:r w:rsidRPr="005F6FD0">
              <w:rPr>
                <w:rFonts w:eastAsia="Calibri"/>
                <w:sz w:val="20"/>
                <w:szCs w:val="20"/>
                <w:lang/>
              </w:rPr>
              <w:t>Between 23 September and 2 October 2025, the MSG reviewed and finalized all templates. At Guyana’s request, EITI International approved an extension, shifting the commencement of validation from 1 October 2025 to 1 January 2026.</w:t>
            </w:r>
          </w:p>
          <w:p w14:paraId="2A935428" w14:textId="31D668CE" w:rsidR="001B2F93" w:rsidRPr="001B2F93" w:rsidRDefault="001B2F93" w:rsidP="001414F5">
            <w:pPr>
              <w:ind w:left="720"/>
              <w:contextualSpacing/>
              <w:jc w:val="both"/>
              <w:rPr>
                <w:rFonts w:eastAsia="Calibri"/>
                <w:sz w:val="20"/>
                <w:szCs w:val="20"/>
              </w:rPr>
            </w:pPr>
          </w:p>
        </w:tc>
      </w:tr>
      <w:tr w:rsidR="001B2F93" w:rsidRPr="001B2F93" w14:paraId="70C46E5E" w14:textId="77777777" w:rsidTr="005F45DD">
        <w:tc>
          <w:tcPr>
            <w:tcW w:w="4495" w:type="dxa"/>
          </w:tcPr>
          <w:p w14:paraId="1A642951" w14:textId="77777777" w:rsidR="001B2F93" w:rsidRPr="001B2F93" w:rsidRDefault="001B2F93" w:rsidP="001414F5">
            <w:pPr>
              <w:tabs>
                <w:tab w:val="left" w:pos="285"/>
              </w:tabs>
              <w:contextualSpacing/>
              <w:jc w:val="both"/>
              <w:rPr>
                <w:rFonts w:eastAsia="Calibri"/>
                <w:b/>
                <w:sz w:val="20"/>
                <w:szCs w:val="20"/>
              </w:rPr>
            </w:pPr>
            <w:r w:rsidRPr="001B2F93">
              <w:rPr>
                <w:rFonts w:eastAsia="Calibri"/>
                <w:b/>
                <w:sz w:val="20"/>
                <w:szCs w:val="20"/>
              </w:rPr>
              <w:lastRenderedPageBreak/>
              <w:t>Requirement 2: Legal and institutional framework, including allocating contracts and licenses.</w:t>
            </w:r>
          </w:p>
          <w:p w14:paraId="0F91D156" w14:textId="77777777" w:rsidR="001B2F93" w:rsidRPr="001B2F93" w:rsidRDefault="001B2F93" w:rsidP="001414F5">
            <w:pPr>
              <w:tabs>
                <w:tab w:val="left" w:pos="285"/>
              </w:tabs>
              <w:contextualSpacing/>
              <w:jc w:val="both"/>
              <w:rPr>
                <w:rFonts w:eastAsia="Calibri"/>
                <w:sz w:val="20"/>
                <w:szCs w:val="20"/>
                <w:u w:val="single"/>
              </w:rPr>
            </w:pPr>
          </w:p>
          <w:p w14:paraId="6818799A" w14:textId="77777777" w:rsidR="001B2F93" w:rsidRPr="001B2F93" w:rsidRDefault="001B2F93" w:rsidP="001414F5">
            <w:pPr>
              <w:tabs>
                <w:tab w:val="left" w:pos="285"/>
              </w:tabs>
              <w:contextualSpacing/>
              <w:jc w:val="both"/>
              <w:rPr>
                <w:rFonts w:eastAsia="Calibri"/>
                <w:sz w:val="20"/>
                <w:szCs w:val="20"/>
                <w:u w:val="single"/>
              </w:rPr>
            </w:pPr>
            <w:r w:rsidRPr="001B2F93">
              <w:rPr>
                <w:rFonts w:eastAsia="Calibri"/>
                <w:sz w:val="20"/>
                <w:szCs w:val="20"/>
                <w:u w:val="single"/>
              </w:rPr>
              <w:t>Requirement 2.1</w:t>
            </w:r>
          </w:p>
          <w:p w14:paraId="0DFDECFA" w14:textId="77777777" w:rsidR="001B2F93" w:rsidRPr="001B2F93" w:rsidRDefault="001B2F93" w:rsidP="001414F5">
            <w:pPr>
              <w:tabs>
                <w:tab w:val="left" w:pos="285"/>
              </w:tabs>
              <w:contextualSpacing/>
              <w:jc w:val="both"/>
              <w:rPr>
                <w:rFonts w:eastAsia="Calibri"/>
                <w:sz w:val="20"/>
                <w:szCs w:val="20"/>
              </w:rPr>
            </w:pPr>
            <w:r w:rsidRPr="001B2F93">
              <w:rPr>
                <w:rFonts w:eastAsia="Calibri"/>
                <w:sz w:val="20"/>
                <w:szCs w:val="20"/>
              </w:rPr>
              <w:t xml:space="preserve">Legal framework and fiscal regime. </w:t>
            </w:r>
          </w:p>
          <w:p w14:paraId="6178F91A" w14:textId="77777777" w:rsidR="001B2F93" w:rsidRPr="001B2F93" w:rsidRDefault="001B2F93" w:rsidP="001414F5">
            <w:pPr>
              <w:tabs>
                <w:tab w:val="left" w:pos="285"/>
              </w:tabs>
              <w:contextualSpacing/>
              <w:jc w:val="both"/>
              <w:rPr>
                <w:rFonts w:eastAsia="Calibri"/>
                <w:sz w:val="20"/>
                <w:szCs w:val="20"/>
              </w:rPr>
            </w:pPr>
            <w:r w:rsidRPr="001B2F93">
              <w:rPr>
                <w:rFonts w:eastAsia="Calibri"/>
                <w:sz w:val="20"/>
                <w:szCs w:val="20"/>
              </w:rPr>
              <w:t xml:space="preserve">a) Implementing countries must disclose a description of the legal framework and fiscal regime governing the extractive industries. This information must include a summary description of the fiscal regime, including the level of fiscal devolution, an overview of the relevant laws and regulations, and information on the roles and responsibilities of the appropriate government agencies. </w:t>
            </w:r>
          </w:p>
          <w:p w14:paraId="78F942D1" w14:textId="77777777" w:rsidR="001B2F93" w:rsidRPr="001B2F93" w:rsidRDefault="001B2F93" w:rsidP="001414F5">
            <w:pPr>
              <w:tabs>
                <w:tab w:val="left" w:pos="285"/>
              </w:tabs>
              <w:contextualSpacing/>
              <w:jc w:val="both"/>
              <w:rPr>
                <w:rFonts w:eastAsia="Calibri"/>
                <w:sz w:val="20"/>
                <w:szCs w:val="20"/>
              </w:rPr>
            </w:pPr>
          </w:p>
          <w:p w14:paraId="0D854D1B" w14:textId="77777777" w:rsidR="001B2F93" w:rsidRPr="001B2F93" w:rsidRDefault="001B2F93" w:rsidP="001414F5">
            <w:pPr>
              <w:tabs>
                <w:tab w:val="left" w:pos="285"/>
              </w:tabs>
              <w:contextualSpacing/>
              <w:jc w:val="both"/>
              <w:rPr>
                <w:rFonts w:eastAsia="Calibri"/>
                <w:sz w:val="20"/>
                <w:szCs w:val="20"/>
              </w:rPr>
            </w:pPr>
            <w:r w:rsidRPr="001B2F93">
              <w:rPr>
                <w:rFonts w:eastAsia="Calibri"/>
                <w:sz w:val="20"/>
                <w:szCs w:val="20"/>
              </w:rPr>
              <w:t>b)  Where the government is undertaking reforms, the multi-stakeholder group is encouraged to document such reforms</w:t>
            </w:r>
          </w:p>
          <w:p w14:paraId="4DEBBDFA" w14:textId="77777777" w:rsidR="001B2F93" w:rsidRPr="001B2F93" w:rsidRDefault="001B2F93" w:rsidP="001414F5">
            <w:pPr>
              <w:tabs>
                <w:tab w:val="left" w:pos="285"/>
              </w:tabs>
              <w:contextualSpacing/>
              <w:jc w:val="both"/>
              <w:rPr>
                <w:rFonts w:eastAsia="Calibri"/>
                <w:sz w:val="20"/>
                <w:szCs w:val="20"/>
              </w:rPr>
            </w:pPr>
          </w:p>
          <w:p w14:paraId="67E4105C" w14:textId="77777777" w:rsidR="001B2F93" w:rsidRPr="001B2F93" w:rsidRDefault="001B2F93" w:rsidP="001414F5">
            <w:pPr>
              <w:tabs>
                <w:tab w:val="left" w:pos="285"/>
              </w:tabs>
              <w:contextualSpacing/>
              <w:jc w:val="both"/>
              <w:rPr>
                <w:rFonts w:eastAsia="Calibri"/>
                <w:sz w:val="20"/>
                <w:szCs w:val="20"/>
                <w:u w:val="single"/>
              </w:rPr>
            </w:pPr>
            <w:r w:rsidRPr="001B2F93">
              <w:rPr>
                <w:rFonts w:eastAsia="Calibri"/>
                <w:sz w:val="20"/>
                <w:szCs w:val="20"/>
                <w:u w:val="single"/>
              </w:rPr>
              <w:t xml:space="preserve">Requirement (2.2) </w:t>
            </w:r>
          </w:p>
          <w:p w14:paraId="335492E2" w14:textId="77777777" w:rsidR="001B2F93" w:rsidRPr="001B2F93" w:rsidRDefault="001B2F93" w:rsidP="001414F5">
            <w:pPr>
              <w:tabs>
                <w:tab w:val="left" w:pos="285"/>
              </w:tabs>
              <w:contextualSpacing/>
              <w:jc w:val="both"/>
              <w:rPr>
                <w:rFonts w:eastAsia="Calibri"/>
                <w:sz w:val="20"/>
                <w:szCs w:val="20"/>
              </w:rPr>
            </w:pPr>
            <w:r w:rsidRPr="001B2F93">
              <w:rPr>
                <w:rFonts w:eastAsia="Calibri"/>
                <w:sz w:val="20"/>
                <w:szCs w:val="20"/>
              </w:rPr>
              <w:lastRenderedPageBreak/>
              <w:t xml:space="preserve">License allocations. </w:t>
            </w:r>
          </w:p>
          <w:p w14:paraId="4E93AC70" w14:textId="77777777" w:rsidR="001B2F93" w:rsidRPr="001B2F93" w:rsidRDefault="001B2F93" w:rsidP="001414F5">
            <w:pPr>
              <w:tabs>
                <w:tab w:val="left" w:pos="285"/>
              </w:tabs>
              <w:contextualSpacing/>
              <w:jc w:val="both"/>
              <w:rPr>
                <w:rFonts w:eastAsia="Calibri"/>
                <w:sz w:val="20"/>
                <w:szCs w:val="20"/>
              </w:rPr>
            </w:pPr>
            <w:r w:rsidRPr="001B2F93">
              <w:rPr>
                <w:rFonts w:eastAsia="Calibri"/>
                <w:sz w:val="20"/>
                <w:szCs w:val="20"/>
              </w:rPr>
              <w:t xml:space="preserve">a) Implementing countries are required to disclose the following information related to the award or transfer of licenses about the companies covered in the EITI Report during the accounting period covered by the EITI Report: </w:t>
            </w:r>
            <w:proofErr w:type="spellStart"/>
            <w:r w:rsidRPr="001B2F93">
              <w:rPr>
                <w:rFonts w:eastAsia="Calibri"/>
                <w:sz w:val="20"/>
                <w:szCs w:val="20"/>
              </w:rPr>
              <w:t>i</w:t>
            </w:r>
            <w:proofErr w:type="spellEnd"/>
            <w:r w:rsidRPr="001B2F93">
              <w:rPr>
                <w:rFonts w:eastAsia="Calibri"/>
                <w:sz w:val="20"/>
                <w:szCs w:val="20"/>
              </w:rPr>
              <w:t>., a description of the process for transferring or awarding the license; ii. the technical and financial criteria used; iii. information about the recipient(s) of the license that has been transferred or awarded, including consortium members where applicable; and iv. any non-trivial deviations from the applicable legal and regulatory framework governing license transfers and awards.  It is required that the information set out above is disclosed for all license awards and transfers during the accounting year covered by the EITI Report, including license allocations about companies that are not included in the EITI Report, i.e., where their payments fall below the agreed materiality threshold. Any significant legal or practical barriers preventing such comprehensive disclosure should be documented and explained in the EITI Report, including an account of government plans for overcoming such barriers and the anticipated timescale for achieving them.</w:t>
            </w:r>
          </w:p>
          <w:p w14:paraId="124B1158" w14:textId="77777777" w:rsidR="001B2F93" w:rsidRPr="001B2F93" w:rsidRDefault="001B2F93" w:rsidP="001414F5">
            <w:pPr>
              <w:tabs>
                <w:tab w:val="left" w:pos="285"/>
              </w:tabs>
              <w:contextualSpacing/>
              <w:jc w:val="both"/>
              <w:rPr>
                <w:rFonts w:eastAsia="Calibri"/>
                <w:sz w:val="20"/>
                <w:szCs w:val="20"/>
              </w:rPr>
            </w:pPr>
          </w:p>
          <w:p w14:paraId="64E50979" w14:textId="77777777" w:rsidR="001B2F93" w:rsidRPr="001B2F93" w:rsidRDefault="001B2F93" w:rsidP="001414F5">
            <w:pPr>
              <w:tabs>
                <w:tab w:val="left" w:pos="285"/>
              </w:tabs>
              <w:contextualSpacing/>
              <w:jc w:val="both"/>
              <w:rPr>
                <w:rFonts w:eastAsia="Calibri"/>
                <w:sz w:val="20"/>
                <w:szCs w:val="20"/>
              </w:rPr>
            </w:pPr>
            <w:r w:rsidRPr="001B2F93">
              <w:rPr>
                <w:rFonts w:eastAsia="Calibri"/>
                <w:sz w:val="20"/>
                <w:szCs w:val="20"/>
              </w:rPr>
              <w:t xml:space="preserve">b) Where companies covered in the EITI Report hold licenses allocated before the accounting period of the EITI Report, implementing countries are encouraged, if feasible, to disclose the information set out in 2.2(a) for these licenses. </w:t>
            </w:r>
          </w:p>
          <w:p w14:paraId="41A9631D" w14:textId="77777777" w:rsidR="001B2F93" w:rsidRPr="001B2F93" w:rsidRDefault="001B2F93" w:rsidP="001414F5">
            <w:pPr>
              <w:tabs>
                <w:tab w:val="left" w:pos="285"/>
              </w:tabs>
              <w:contextualSpacing/>
              <w:jc w:val="both"/>
              <w:rPr>
                <w:rFonts w:eastAsia="Calibri"/>
                <w:sz w:val="20"/>
                <w:szCs w:val="20"/>
              </w:rPr>
            </w:pPr>
          </w:p>
          <w:p w14:paraId="1A4C288D" w14:textId="77777777" w:rsidR="001B2F93" w:rsidRPr="001B2F93" w:rsidRDefault="001B2F93" w:rsidP="001414F5">
            <w:pPr>
              <w:tabs>
                <w:tab w:val="left" w:pos="285"/>
              </w:tabs>
              <w:contextualSpacing/>
              <w:jc w:val="both"/>
              <w:rPr>
                <w:rFonts w:eastAsia="Calibri"/>
                <w:sz w:val="20"/>
                <w:szCs w:val="20"/>
              </w:rPr>
            </w:pPr>
            <w:r w:rsidRPr="001B2F93">
              <w:rPr>
                <w:rFonts w:eastAsia="Calibri"/>
                <w:sz w:val="20"/>
                <w:szCs w:val="20"/>
              </w:rPr>
              <w:t xml:space="preserve">c) Where licenses are awarded through a bidding process during the accounting period covered by the EITI Report, the government is required to disclose the list of applicants and the bid criteria. </w:t>
            </w:r>
          </w:p>
          <w:p w14:paraId="76BC7AF7" w14:textId="77777777" w:rsidR="001B2F93" w:rsidRPr="001B2F93" w:rsidRDefault="001B2F93" w:rsidP="001414F5">
            <w:pPr>
              <w:tabs>
                <w:tab w:val="left" w:pos="285"/>
              </w:tabs>
              <w:contextualSpacing/>
              <w:jc w:val="both"/>
              <w:rPr>
                <w:rFonts w:eastAsia="Calibri"/>
                <w:sz w:val="20"/>
                <w:szCs w:val="20"/>
              </w:rPr>
            </w:pPr>
          </w:p>
          <w:p w14:paraId="37C65C74" w14:textId="77777777" w:rsidR="001B2F93" w:rsidRPr="001B2F93" w:rsidRDefault="001B2F93" w:rsidP="001414F5">
            <w:pPr>
              <w:tabs>
                <w:tab w:val="left" w:pos="285"/>
              </w:tabs>
              <w:contextualSpacing/>
              <w:jc w:val="both"/>
              <w:rPr>
                <w:rFonts w:eastAsia="Calibri"/>
                <w:sz w:val="20"/>
                <w:szCs w:val="20"/>
              </w:rPr>
            </w:pPr>
            <w:r w:rsidRPr="001B2F93">
              <w:rPr>
                <w:rFonts w:eastAsia="Calibri"/>
                <w:sz w:val="20"/>
                <w:szCs w:val="20"/>
              </w:rPr>
              <w:t xml:space="preserve">d) Where the requisite information set out in 2.2(a-c) is already publicly available, including a reference or link in the EITI Report is sufficient. </w:t>
            </w:r>
          </w:p>
          <w:p w14:paraId="4FD59865" w14:textId="77777777" w:rsidR="001B2F93" w:rsidRPr="001B2F93" w:rsidRDefault="001B2F93" w:rsidP="001414F5">
            <w:pPr>
              <w:tabs>
                <w:tab w:val="left" w:pos="285"/>
              </w:tabs>
              <w:contextualSpacing/>
              <w:jc w:val="both"/>
              <w:rPr>
                <w:rFonts w:eastAsia="Calibri"/>
                <w:sz w:val="20"/>
                <w:szCs w:val="20"/>
              </w:rPr>
            </w:pPr>
          </w:p>
          <w:p w14:paraId="504434C1" w14:textId="77777777" w:rsidR="001B2F93" w:rsidRPr="001B2F93" w:rsidRDefault="001B2F93" w:rsidP="001414F5">
            <w:pPr>
              <w:tabs>
                <w:tab w:val="left" w:pos="285"/>
              </w:tabs>
              <w:contextualSpacing/>
              <w:jc w:val="both"/>
              <w:rPr>
                <w:rFonts w:eastAsia="Calibri"/>
                <w:sz w:val="20"/>
                <w:szCs w:val="20"/>
              </w:rPr>
            </w:pPr>
            <w:r w:rsidRPr="001B2F93">
              <w:rPr>
                <w:rFonts w:eastAsia="Calibri"/>
                <w:sz w:val="20"/>
                <w:szCs w:val="20"/>
              </w:rPr>
              <w:t>e) The multi-stakeholder group may wish to include additional information on the allocation of licenses in the EITI Report, including commentary on the efficiency and effectiveness of licensing procedures.</w:t>
            </w:r>
          </w:p>
          <w:p w14:paraId="63A8B6B0" w14:textId="77777777" w:rsidR="001B2F93" w:rsidRPr="001B2F93" w:rsidRDefault="001B2F93" w:rsidP="001414F5">
            <w:pPr>
              <w:tabs>
                <w:tab w:val="left" w:pos="285"/>
              </w:tabs>
              <w:contextualSpacing/>
              <w:jc w:val="both"/>
              <w:rPr>
                <w:rFonts w:eastAsia="Calibri"/>
                <w:sz w:val="20"/>
                <w:szCs w:val="20"/>
              </w:rPr>
            </w:pPr>
          </w:p>
          <w:p w14:paraId="5A757153" w14:textId="77777777" w:rsidR="001B2F93" w:rsidRPr="001B2F93" w:rsidRDefault="001B2F93" w:rsidP="001414F5">
            <w:pPr>
              <w:tabs>
                <w:tab w:val="left" w:pos="285"/>
              </w:tabs>
              <w:contextualSpacing/>
              <w:jc w:val="both"/>
              <w:rPr>
                <w:rFonts w:eastAsia="Calibri"/>
                <w:sz w:val="20"/>
                <w:szCs w:val="20"/>
                <w:u w:val="single"/>
              </w:rPr>
            </w:pPr>
            <w:r w:rsidRPr="001B2F93">
              <w:rPr>
                <w:rFonts w:eastAsia="Calibri"/>
                <w:sz w:val="20"/>
                <w:szCs w:val="20"/>
                <w:u w:val="single"/>
              </w:rPr>
              <w:t>Requirement (2.3)</w:t>
            </w:r>
          </w:p>
          <w:p w14:paraId="668972DD" w14:textId="77777777" w:rsidR="001B2F93" w:rsidRPr="001B2F93" w:rsidRDefault="001B2F93" w:rsidP="001414F5">
            <w:pPr>
              <w:tabs>
                <w:tab w:val="left" w:pos="285"/>
              </w:tabs>
              <w:contextualSpacing/>
              <w:jc w:val="both"/>
              <w:rPr>
                <w:rFonts w:eastAsia="Calibri"/>
                <w:sz w:val="20"/>
                <w:szCs w:val="20"/>
              </w:rPr>
            </w:pPr>
            <w:r w:rsidRPr="001B2F93">
              <w:rPr>
                <w:rFonts w:eastAsia="Calibri"/>
                <w:sz w:val="20"/>
                <w:szCs w:val="20"/>
              </w:rPr>
              <w:t xml:space="preserve">Register of licenses. </w:t>
            </w:r>
          </w:p>
          <w:p w14:paraId="42086FD6" w14:textId="77777777" w:rsidR="001B2F93" w:rsidRPr="001B2F93" w:rsidRDefault="001B2F93" w:rsidP="001414F5">
            <w:pPr>
              <w:tabs>
                <w:tab w:val="left" w:pos="285"/>
              </w:tabs>
              <w:contextualSpacing/>
              <w:jc w:val="both"/>
              <w:rPr>
                <w:rFonts w:eastAsia="Calibri"/>
                <w:sz w:val="20"/>
                <w:szCs w:val="20"/>
              </w:rPr>
            </w:pPr>
            <w:r w:rsidRPr="001B2F93">
              <w:rPr>
                <w:rFonts w:eastAsia="Calibri"/>
                <w:sz w:val="20"/>
                <w:szCs w:val="20"/>
              </w:rPr>
              <w:t xml:space="preserve">a) The term license in this context refers to any license, lease, title, permit contract or concession by which the government confers on a company(ies) or individual(s) rights to explore or exploit oil, gas, and/or mineral resources. </w:t>
            </w:r>
          </w:p>
          <w:p w14:paraId="58B73FA1" w14:textId="77777777" w:rsidR="001B2F93" w:rsidRPr="001B2F93" w:rsidRDefault="001B2F93" w:rsidP="001414F5">
            <w:pPr>
              <w:tabs>
                <w:tab w:val="left" w:pos="285"/>
              </w:tabs>
              <w:contextualSpacing/>
              <w:jc w:val="both"/>
              <w:rPr>
                <w:rFonts w:eastAsia="Calibri"/>
                <w:sz w:val="20"/>
                <w:szCs w:val="20"/>
              </w:rPr>
            </w:pPr>
          </w:p>
          <w:p w14:paraId="0910E9FE" w14:textId="77777777" w:rsidR="001B2F93" w:rsidRPr="001B2F93" w:rsidRDefault="001B2F93" w:rsidP="001414F5">
            <w:pPr>
              <w:tabs>
                <w:tab w:val="left" w:pos="285"/>
              </w:tabs>
              <w:contextualSpacing/>
              <w:jc w:val="both"/>
              <w:rPr>
                <w:rFonts w:eastAsia="Calibri"/>
                <w:sz w:val="20"/>
                <w:szCs w:val="20"/>
              </w:rPr>
            </w:pPr>
            <w:r w:rsidRPr="001B2F93">
              <w:rPr>
                <w:rFonts w:eastAsia="Calibri"/>
                <w:sz w:val="20"/>
                <w:szCs w:val="20"/>
              </w:rPr>
              <w:lastRenderedPageBreak/>
              <w:t xml:space="preserve">b) Implementing countries are required to maintain a publicly available register or </w:t>
            </w:r>
            <w:proofErr w:type="spellStart"/>
            <w:r w:rsidRPr="001B2F93">
              <w:rPr>
                <w:rFonts w:eastAsia="Calibri"/>
                <w:sz w:val="20"/>
                <w:szCs w:val="20"/>
              </w:rPr>
              <w:t>cadastre</w:t>
            </w:r>
            <w:proofErr w:type="spellEnd"/>
            <w:r w:rsidRPr="001B2F93">
              <w:rPr>
                <w:rFonts w:eastAsia="Calibri"/>
                <w:sz w:val="20"/>
                <w:szCs w:val="20"/>
              </w:rPr>
              <w:t xml:space="preserve"> system(s) with the following timely and comprehensive information regarding each of the licenses about companies covered in the EITI Report: </w:t>
            </w:r>
            <w:proofErr w:type="spellStart"/>
            <w:r w:rsidRPr="001B2F93">
              <w:rPr>
                <w:rFonts w:eastAsia="Calibri"/>
                <w:sz w:val="20"/>
                <w:szCs w:val="20"/>
              </w:rPr>
              <w:t>i</w:t>
            </w:r>
            <w:proofErr w:type="spellEnd"/>
            <w:r w:rsidRPr="001B2F93">
              <w:rPr>
                <w:rFonts w:eastAsia="Calibri"/>
                <w:sz w:val="20"/>
                <w:szCs w:val="20"/>
              </w:rPr>
              <w:t xml:space="preserve">. License holder(s). ii. Where collated, coordinates of the license area. Where coordinates are not collated, the government must ensure that the license area's size and location are disclosed in the license register and that the coordinates are publicly available from the relevant government agency without unreasonable fees and restrictions. The EITI Report should include guidance on accessing the coordinates and the data's cost if any. The EITI Report should also document plans and timelines for making this information freely and electronically available through the license register. iii. Date of application, date of award, and duration of the license. iv. In the case of production licenses, the commodity is produced. It is expected that the license registers or </w:t>
            </w:r>
            <w:proofErr w:type="spellStart"/>
            <w:r w:rsidRPr="001B2F93">
              <w:rPr>
                <w:rFonts w:eastAsia="Calibri"/>
                <w:sz w:val="20"/>
                <w:szCs w:val="20"/>
              </w:rPr>
              <w:t>cadastre</w:t>
            </w:r>
            <w:proofErr w:type="spellEnd"/>
            <w:r w:rsidRPr="001B2F93">
              <w:rPr>
                <w:rFonts w:eastAsia="Calibri"/>
                <w:sz w:val="20"/>
                <w:szCs w:val="20"/>
              </w:rPr>
              <w:t xml:space="preserve"> includes information about licenses held by all entities, including companies and individuals or groups that are not included in the EITI Report, i.e., where their payments fall below the agreed materiality threshold. Any significant legal or practical barriers preventing such comprehensive disclosure should be documented and explained in the EITI Report, including an account of government plans for seeking to overcome such barriers and the anticipated timescale for achieving them.</w:t>
            </w:r>
          </w:p>
          <w:p w14:paraId="68ED7B54" w14:textId="77777777" w:rsidR="001B2F93" w:rsidRPr="001B2F93" w:rsidRDefault="001B2F93" w:rsidP="001414F5">
            <w:pPr>
              <w:tabs>
                <w:tab w:val="left" w:pos="285"/>
              </w:tabs>
              <w:contextualSpacing/>
              <w:jc w:val="both"/>
              <w:rPr>
                <w:rFonts w:eastAsia="Calibri"/>
                <w:sz w:val="20"/>
                <w:szCs w:val="20"/>
              </w:rPr>
            </w:pPr>
          </w:p>
          <w:p w14:paraId="79A13F59" w14:textId="77777777" w:rsidR="001B2F93" w:rsidRPr="001B2F93" w:rsidRDefault="001B2F93" w:rsidP="001414F5">
            <w:pPr>
              <w:tabs>
                <w:tab w:val="left" w:pos="285"/>
              </w:tabs>
              <w:contextualSpacing/>
              <w:jc w:val="both"/>
              <w:rPr>
                <w:rFonts w:eastAsia="Calibri"/>
                <w:sz w:val="20"/>
                <w:szCs w:val="20"/>
              </w:rPr>
            </w:pPr>
            <w:r w:rsidRPr="001B2F93">
              <w:rPr>
                <w:rFonts w:eastAsia="Calibri"/>
                <w:sz w:val="20"/>
                <w:szCs w:val="20"/>
              </w:rPr>
              <w:t xml:space="preserve">c) Where the information set out in 2.3.b is already publicly available, it is sufficient to include a reference or link in the EITI Report. Where such registers or </w:t>
            </w:r>
            <w:proofErr w:type="spellStart"/>
            <w:r w:rsidRPr="001B2F93">
              <w:rPr>
                <w:rFonts w:eastAsia="Calibri"/>
                <w:sz w:val="20"/>
                <w:szCs w:val="20"/>
              </w:rPr>
              <w:t>cadastres</w:t>
            </w:r>
            <w:proofErr w:type="spellEnd"/>
            <w:r w:rsidRPr="001B2F93">
              <w:rPr>
                <w:rFonts w:eastAsia="Calibri"/>
                <w:sz w:val="20"/>
                <w:szCs w:val="20"/>
              </w:rPr>
              <w:t xml:space="preserve"> do not exist or are incomplete, the EITI Report should disclose any gaps in the publicly available information and document efforts to strengthen these systems. In the interim, the EITI Report should include the information in 2.3.b above.</w:t>
            </w:r>
          </w:p>
          <w:p w14:paraId="3A082082" w14:textId="77777777" w:rsidR="001B2F93" w:rsidRPr="001B2F93" w:rsidRDefault="001B2F93" w:rsidP="001414F5">
            <w:pPr>
              <w:tabs>
                <w:tab w:val="left" w:pos="285"/>
              </w:tabs>
              <w:contextualSpacing/>
              <w:jc w:val="both"/>
              <w:rPr>
                <w:rFonts w:eastAsia="Calibri"/>
                <w:sz w:val="20"/>
                <w:szCs w:val="20"/>
              </w:rPr>
            </w:pPr>
          </w:p>
          <w:p w14:paraId="64D3F9B6" w14:textId="77777777" w:rsidR="001B2F93" w:rsidRPr="001B2F93" w:rsidRDefault="001B2F93" w:rsidP="001414F5">
            <w:pPr>
              <w:tabs>
                <w:tab w:val="left" w:pos="285"/>
              </w:tabs>
              <w:contextualSpacing/>
              <w:jc w:val="both"/>
              <w:rPr>
                <w:rFonts w:eastAsia="Calibri"/>
                <w:sz w:val="20"/>
                <w:szCs w:val="20"/>
              </w:rPr>
            </w:pPr>
            <w:r w:rsidRPr="001B2F93">
              <w:rPr>
                <w:rFonts w:eastAsia="Calibri"/>
                <w:sz w:val="20"/>
                <w:szCs w:val="20"/>
              </w:rPr>
              <w:t>Requirement (2.4)</w:t>
            </w:r>
          </w:p>
          <w:p w14:paraId="331F96D5" w14:textId="77777777" w:rsidR="001B2F93" w:rsidRPr="001B2F93" w:rsidRDefault="001B2F93" w:rsidP="001414F5">
            <w:pPr>
              <w:tabs>
                <w:tab w:val="left" w:pos="285"/>
              </w:tabs>
              <w:contextualSpacing/>
              <w:jc w:val="both"/>
              <w:rPr>
                <w:rFonts w:eastAsia="Calibri"/>
                <w:sz w:val="20"/>
                <w:szCs w:val="20"/>
              </w:rPr>
            </w:pPr>
            <w:r w:rsidRPr="001B2F93">
              <w:rPr>
                <w:rFonts w:eastAsia="Calibri"/>
                <w:sz w:val="20"/>
                <w:szCs w:val="20"/>
              </w:rPr>
              <w:t xml:space="preserve"> Contracts. </w:t>
            </w:r>
          </w:p>
          <w:p w14:paraId="5DEA2971" w14:textId="77777777" w:rsidR="001B2F93" w:rsidRPr="001B2F93" w:rsidRDefault="001B2F93" w:rsidP="001414F5">
            <w:pPr>
              <w:tabs>
                <w:tab w:val="left" w:pos="285"/>
              </w:tabs>
              <w:contextualSpacing/>
              <w:jc w:val="both"/>
              <w:rPr>
                <w:rFonts w:eastAsia="Calibri"/>
                <w:sz w:val="20"/>
                <w:szCs w:val="20"/>
              </w:rPr>
            </w:pPr>
            <w:r w:rsidRPr="001B2F93">
              <w:rPr>
                <w:rFonts w:eastAsia="Calibri"/>
                <w:sz w:val="20"/>
                <w:szCs w:val="20"/>
              </w:rPr>
              <w:t xml:space="preserve">a) Implementing countries are encouraged to publicly disclose any contracts and licenses that provide the terms attached to the exploitation of oil, gas, and minerals. b) It is required that the EITI Report documents the government’s policy on disclosing contracts and licenses governing oil, gas, and minerals exploration and exploitation. This should include relevant legal provisions, actual disclosure practices, and any planned or underway reforms. Where applicable, the EITI Report should provide an overview of the contracts and licenses that are publicly available and include a reference or link to the location where these are published. c) The term </w:t>
            </w:r>
            <w:r w:rsidRPr="001B2F93">
              <w:rPr>
                <w:rFonts w:eastAsia="Calibri"/>
                <w:sz w:val="20"/>
                <w:szCs w:val="20"/>
              </w:rPr>
              <w:lastRenderedPageBreak/>
              <w:t xml:space="preserve">contract in 2.4(a) means </w:t>
            </w:r>
            <w:proofErr w:type="spellStart"/>
            <w:r w:rsidRPr="001B2F93">
              <w:rPr>
                <w:rFonts w:eastAsia="Calibri"/>
                <w:sz w:val="20"/>
                <w:szCs w:val="20"/>
              </w:rPr>
              <w:t>i</w:t>
            </w:r>
            <w:proofErr w:type="spellEnd"/>
            <w:r w:rsidRPr="001B2F93">
              <w:rPr>
                <w:rFonts w:eastAsia="Calibri"/>
                <w:sz w:val="20"/>
                <w:szCs w:val="20"/>
              </w:rPr>
              <w:t>. The full text of any contract, concession, production-sharing agreement or other agreement is granted or entered into. The government provides the terms for exploiting oil, gas, and mineral resources. ii. The full text of any annex, appendix, or rider establishes details relevant to the exploitation rights described in 2.4(c)(</w:t>
            </w:r>
            <w:proofErr w:type="spellStart"/>
            <w:r w:rsidRPr="001B2F93">
              <w:rPr>
                <w:rFonts w:eastAsia="Calibri"/>
                <w:sz w:val="20"/>
                <w:szCs w:val="20"/>
              </w:rPr>
              <w:t>i</w:t>
            </w:r>
            <w:proofErr w:type="spellEnd"/>
            <w:r w:rsidRPr="001B2F93">
              <w:rPr>
                <w:rFonts w:eastAsia="Calibri"/>
                <w:sz w:val="20"/>
                <w:szCs w:val="20"/>
              </w:rPr>
              <w:t>) or execution. iii. The full text of any alteration or amendment to the documents described in 2.4(c)(</w:t>
            </w:r>
            <w:proofErr w:type="spellStart"/>
            <w:r w:rsidRPr="001B2F93">
              <w:rPr>
                <w:rFonts w:eastAsia="Calibri"/>
                <w:sz w:val="20"/>
                <w:szCs w:val="20"/>
              </w:rPr>
              <w:t>i</w:t>
            </w:r>
            <w:proofErr w:type="spellEnd"/>
            <w:r w:rsidRPr="001B2F93">
              <w:rPr>
                <w:rFonts w:eastAsia="Calibri"/>
                <w:sz w:val="20"/>
                <w:szCs w:val="20"/>
              </w:rPr>
              <w:t xml:space="preserve">) and 2.4(c)(ii). d) The term license in 2.4(a) means </w:t>
            </w:r>
            <w:proofErr w:type="spellStart"/>
            <w:r w:rsidRPr="001B2F93">
              <w:rPr>
                <w:rFonts w:eastAsia="Calibri"/>
                <w:sz w:val="20"/>
                <w:szCs w:val="20"/>
              </w:rPr>
              <w:t>i</w:t>
            </w:r>
            <w:proofErr w:type="spellEnd"/>
            <w:r w:rsidRPr="001B2F93">
              <w:rPr>
                <w:rFonts w:eastAsia="Calibri"/>
                <w:sz w:val="20"/>
                <w:szCs w:val="20"/>
              </w:rPr>
              <w:t>. The full text of any license, lease, title, or permit by which a government confers on a company (ies) or individual(s) rights to exploit oil, gas, and/or mineral resources. ii. The full text of any annex, appendix, or rider establishes details relevant to the exploitation rights described in 2.4(d)(</w:t>
            </w:r>
            <w:proofErr w:type="spellStart"/>
            <w:r w:rsidRPr="001B2F93">
              <w:rPr>
                <w:rFonts w:eastAsia="Calibri"/>
                <w:sz w:val="20"/>
                <w:szCs w:val="20"/>
              </w:rPr>
              <w:t>i</w:t>
            </w:r>
            <w:proofErr w:type="spellEnd"/>
            <w:r w:rsidRPr="001B2F93">
              <w:rPr>
                <w:rFonts w:eastAsia="Calibri"/>
                <w:sz w:val="20"/>
                <w:szCs w:val="20"/>
              </w:rPr>
              <w:t>) or execution. ii. The full text of any alteration or amendment to the documents described in 2.4(d)(</w:t>
            </w:r>
            <w:proofErr w:type="spellStart"/>
            <w:r w:rsidRPr="001B2F93">
              <w:rPr>
                <w:rFonts w:eastAsia="Calibri"/>
                <w:sz w:val="20"/>
                <w:szCs w:val="20"/>
              </w:rPr>
              <w:t>i</w:t>
            </w:r>
            <w:proofErr w:type="spellEnd"/>
            <w:r w:rsidRPr="001B2F93">
              <w:rPr>
                <w:rFonts w:eastAsia="Calibri"/>
                <w:sz w:val="20"/>
                <w:szCs w:val="20"/>
              </w:rPr>
              <w:t>) and 2.4(d)(ii).</w:t>
            </w:r>
          </w:p>
          <w:p w14:paraId="7B44B980" w14:textId="77777777" w:rsidR="001B2F93" w:rsidRPr="001B2F93" w:rsidRDefault="001B2F93" w:rsidP="001414F5">
            <w:pPr>
              <w:tabs>
                <w:tab w:val="left" w:pos="285"/>
              </w:tabs>
              <w:contextualSpacing/>
              <w:jc w:val="both"/>
              <w:rPr>
                <w:rFonts w:eastAsia="Calibri"/>
                <w:sz w:val="20"/>
                <w:szCs w:val="20"/>
              </w:rPr>
            </w:pPr>
          </w:p>
          <w:p w14:paraId="168D6175" w14:textId="77777777" w:rsidR="001B2F93" w:rsidRPr="001B2F93" w:rsidRDefault="001B2F93" w:rsidP="001414F5">
            <w:pPr>
              <w:tabs>
                <w:tab w:val="left" w:pos="285"/>
              </w:tabs>
              <w:contextualSpacing/>
              <w:jc w:val="both"/>
              <w:rPr>
                <w:rFonts w:eastAsia="Calibri"/>
                <w:sz w:val="20"/>
                <w:szCs w:val="20"/>
              </w:rPr>
            </w:pPr>
          </w:p>
          <w:p w14:paraId="48E08604" w14:textId="77777777" w:rsidR="001B2F93" w:rsidRPr="001B2F93" w:rsidRDefault="001B2F93" w:rsidP="001414F5">
            <w:pPr>
              <w:tabs>
                <w:tab w:val="left" w:pos="285"/>
              </w:tabs>
              <w:contextualSpacing/>
              <w:jc w:val="both"/>
              <w:rPr>
                <w:rFonts w:eastAsia="Calibri"/>
                <w:sz w:val="20"/>
                <w:szCs w:val="20"/>
              </w:rPr>
            </w:pPr>
            <w:r w:rsidRPr="001B2F93">
              <w:rPr>
                <w:rFonts w:eastAsia="Calibri"/>
                <w:sz w:val="20"/>
                <w:szCs w:val="20"/>
                <w:u w:val="single"/>
              </w:rPr>
              <w:t>Requirement (2.5)</w:t>
            </w:r>
          </w:p>
          <w:p w14:paraId="6882305A" w14:textId="77777777" w:rsidR="001B2F93" w:rsidRPr="001B2F93" w:rsidRDefault="001B2F93" w:rsidP="001414F5">
            <w:pPr>
              <w:tabs>
                <w:tab w:val="left" w:pos="285"/>
              </w:tabs>
              <w:contextualSpacing/>
              <w:jc w:val="both"/>
              <w:rPr>
                <w:rFonts w:eastAsia="Calibri"/>
                <w:sz w:val="20"/>
                <w:szCs w:val="20"/>
              </w:rPr>
            </w:pPr>
            <w:r w:rsidRPr="001B2F93">
              <w:rPr>
                <w:rFonts w:eastAsia="Calibri"/>
                <w:sz w:val="20"/>
                <w:szCs w:val="20"/>
              </w:rPr>
              <w:t>Beneficial ownership. a) It is recommended that implementing countries maintain a publicly available register of the beneficial owners of the corporate entity (ies) that bid for, operate, or invest in extractive assets, including the identity (ies) of their beneficial owner(s), the level of ownership and details about how ownership or control is exerted. Where possible, beneficial ownership information should be incorporated in existing filings by companies to corporate regulators, stock exchanges, or agencies regulating extractive industry licensing. Where this information is already publicly available, the EITI Report should include guidance on how to access this information</w:t>
            </w:r>
          </w:p>
          <w:p w14:paraId="6585D1EC" w14:textId="77777777" w:rsidR="001B2F93" w:rsidRPr="001B2F93" w:rsidRDefault="001B2F93" w:rsidP="001414F5">
            <w:pPr>
              <w:tabs>
                <w:tab w:val="left" w:pos="285"/>
              </w:tabs>
              <w:contextualSpacing/>
              <w:jc w:val="both"/>
              <w:rPr>
                <w:rFonts w:eastAsia="Calibri"/>
                <w:sz w:val="20"/>
                <w:szCs w:val="20"/>
              </w:rPr>
            </w:pPr>
          </w:p>
          <w:p w14:paraId="59D333C8" w14:textId="5F495874" w:rsidR="001B2F93" w:rsidRPr="001B2F93" w:rsidRDefault="001B2F93" w:rsidP="001414F5">
            <w:pPr>
              <w:tabs>
                <w:tab w:val="left" w:pos="285"/>
              </w:tabs>
              <w:contextualSpacing/>
              <w:jc w:val="both"/>
              <w:rPr>
                <w:rFonts w:eastAsia="Calibri"/>
                <w:sz w:val="20"/>
                <w:szCs w:val="20"/>
              </w:rPr>
            </w:pPr>
            <w:r w:rsidRPr="001B2F93">
              <w:rPr>
                <w:rFonts w:eastAsia="Calibri"/>
                <w:sz w:val="20"/>
                <w:szCs w:val="20"/>
              </w:rPr>
              <w:t xml:space="preserve">b) It is required that </w:t>
            </w:r>
            <w:proofErr w:type="spellStart"/>
            <w:r w:rsidRPr="001B2F93">
              <w:rPr>
                <w:rFonts w:eastAsia="Calibri"/>
                <w:sz w:val="20"/>
                <w:szCs w:val="20"/>
              </w:rPr>
              <w:t>i</w:t>
            </w:r>
            <w:proofErr w:type="spellEnd"/>
            <w:r w:rsidRPr="001B2F93">
              <w:rPr>
                <w:rFonts w:eastAsia="Calibri"/>
                <w:sz w:val="20"/>
                <w:szCs w:val="20"/>
              </w:rPr>
              <w:t xml:space="preserve">. The EITI Report documents the government’s policy and MSG’s discussion on beneficial ownership disclosure. This should include details of the relevant legal provisions, actual disclosure practices, and any planned or underway reforms related to beneficial ownership disclosure. ii. By 1 January 2017, the multi-stakeholder group publishes a roadmap for disclosing beneficial ownership information under clauses (c)-(f) below. The MSG will determine all milestones and deadlines in the roadmap, and the MSG will evaluate the implementation of the roadmap as part of the MSG’s annual activity report. c) As of 1 January 2020, it is required </w:t>
            </w:r>
            <w:r w:rsidR="0072012D" w:rsidRPr="001B2F93">
              <w:rPr>
                <w:rFonts w:eastAsia="Calibri"/>
                <w:sz w:val="20"/>
                <w:szCs w:val="20"/>
              </w:rPr>
              <w:t>that</w:t>
            </w:r>
            <w:r w:rsidRPr="001B2F93">
              <w:rPr>
                <w:rFonts w:eastAsia="Calibri"/>
                <w:sz w:val="20"/>
                <w:szCs w:val="20"/>
              </w:rPr>
              <w:t xml:space="preserve"> countries request and companies disclose beneficial ownership information for inclusion in the EITI report. This applies to a corporate entity (ies) that bid for, operate, or invest in extractive assets and should include the identity(ies) </w:t>
            </w:r>
            <w:r w:rsidRPr="001B2F93">
              <w:rPr>
                <w:rFonts w:eastAsia="Calibri"/>
                <w:sz w:val="20"/>
                <w:szCs w:val="20"/>
              </w:rPr>
              <w:lastRenderedPageBreak/>
              <w:t xml:space="preserve">of their beneficial owner(s), the level of ownership, and details about how ownership or control is exerted. Any gaps or weaknesses in reporting on beneficial ownership information must be disclosed in the EITI Report, including naming entities that failed to submit all or parts of the beneficial ownership information. A country facing constitutional or significant practical barriers to implementing this requirement by 1 January 2020 may seek adapted implementation under requirement 8.1. d) Information about the beneficial owner's identity should include the beneficial owner's name, nationality, country of residence, and identifying any politically exposed persons. It is also recommended that the national identity number, date of birth, residential or service address, and means of contact are disclosed. e) The multi-stakeholder group should agree on an approach for participating companies assuring the accuracy of the beneficial ownership information they provide. This could include requiring companies to attest to the beneficial ownership declaration form through sign-off by a member of the senior management team or senior legal counsel or submit supporting documentation. f) Definition of beneficial ownership: </w:t>
            </w:r>
            <w:proofErr w:type="spellStart"/>
            <w:r w:rsidRPr="001B2F93">
              <w:rPr>
                <w:rFonts w:eastAsia="Calibri"/>
                <w:sz w:val="20"/>
                <w:szCs w:val="20"/>
              </w:rPr>
              <w:t>i</w:t>
            </w:r>
            <w:proofErr w:type="spellEnd"/>
            <w:r w:rsidRPr="001B2F93">
              <w:rPr>
                <w:rFonts w:eastAsia="Calibri"/>
                <w:sz w:val="20"/>
                <w:szCs w:val="20"/>
              </w:rPr>
              <w:t>. A beneficial owner in a company means the natural person(s) who directly or indirectly ultimately owns or controls the corporate entity. ii. The multi-stakeholder group should agree on an appropriate definition of the beneficial owner. The definition should be aligned with (f)(</w:t>
            </w:r>
            <w:proofErr w:type="spellStart"/>
            <w:r w:rsidRPr="001B2F93">
              <w:rPr>
                <w:rFonts w:eastAsia="Calibri"/>
                <w:sz w:val="20"/>
                <w:szCs w:val="20"/>
              </w:rPr>
              <w:t>i</w:t>
            </w:r>
            <w:proofErr w:type="spellEnd"/>
            <w:r w:rsidRPr="001B2F93">
              <w:rPr>
                <w:rFonts w:eastAsia="Calibri"/>
                <w:sz w:val="20"/>
                <w:szCs w:val="20"/>
              </w:rPr>
              <w:t xml:space="preserve">) above and take international norms and relevant national laws into </w:t>
            </w:r>
            <w:r w:rsidR="0072012D" w:rsidRPr="001B2F93">
              <w:rPr>
                <w:rFonts w:eastAsia="Calibri"/>
                <w:sz w:val="20"/>
                <w:szCs w:val="20"/>
              </w:rPr>
              <w:t>account and</w:t>
            </w:r>
            <w:r w:rsidRPr="001B2F93">
              <w:rPr>
                <w:rFonts w:eastAsia="Calibri"/>
                <w:sz w:val="20"/>
                <w:szCs w:val="20"/>
              </w:rPr>
              <w:t xml:space="preserve"> should include ownership threshold(s). The definition should also specify reporting obligations for politically exposed persons. iii. Publicly listed companies, including </w:t>
            </w:r>
            <w:r w:rsidR="0072012D" w:rsidRPr="001B2F93">
              <w:rPr>
                <w:rFonts w:eastAsia="Calibri"/>
                <w:sz w:val="20"/>
                <w:szCs w:val="20"/>
              </w:rPr>
              <w:t>wholly owned</w:t>
            </w:r>
            <w:r w:rsidRPr="001B2F93">
              <w:rPr>
                <w:rFonts w:eastAsia="Calibri"/>
                <w:sz w:val="20"/>
                <w:szCs w:val="20"/>
              </w:rPr>
              <w:t xml:space="preserve"> subsidiaries, are required to disclose the stock exchange name and include a link to the stock exchange filings where they are listed. iv. In the case of joint ventures, each entity within the venture should disclose its beneficial owner(s) unless it is publicly listed or is a </w:t>
            </w:r>
            <w:r w:rsidR="0072012D" w:rsidRPr="001B2F93">
              <w:rPr>
                <w:rFonts w:eastAsia="Calibri"/>
                <w:sz w:val="20"/>
                <w:szCs w:val="20"/>
              </w:rPr>
              <w:t>wholly owned</w:t>
            </w:r>
            <w:r w:rsidRPr="001B2F93">
              <w:rPr>
                <w:rFonts w:eastAsia="Calibri"/>
                <w:sz w:val="20"/>
                <w:szCs w:val="20"/>
              </w:rPr>
              <w:t xml:space="preserve"> subsidiary of a publicly listed company. Each entity is responsible for the accuracy of the information provided. g)  The EITI Report should also disclose such companies' legal owners and share of ownership.</w:t>
            </w:r>
          </w:p>
          <w:p w14:paraId="167672D3" w14:textId="77777777" w:rsidR="001B2F93" w:rsidRPr="001B2F93" w:rsidRDefault="001B2F93" w:rsidP="001414F5">
            <w:pPr>
              <w:tabs>
                <w:tab w:val="left" w:pos="285"/>
              </w:tabs>
              <w:contextualSpacing/>
              <w:jc w:val="both"/>
              <w:rPr>
                <w:rFonts w:eastAsia="Calibri"/>
                <w:sz w:val="20"/>
                <w:szCs w:val="20"/>
              </w:rPr>
            </w:pPr>
          </w:p>
          <w:p w14:paraId="591FC318" w14:textId="77777777" w:rsidR="001B2F93" w:rsidRPr="001B2F93" w:rsidRDefault="001B2F93" w:rsidP="001414F5">
            <w:pPr>
              <w:tabs>
                <w:tab w:val="left" w:pos="285"/>
              </w:tabs>
              <w:contextualSpacing/>
              <w:jc w:val="both"/>
              <w:rPr>
                <w:rFonts w:eastAsia="Calibri"/>
                <w:sz w:val="20"/>
                <w:szCs w:val="20"/>
              </w:rPr>
            </w:pPr>
            <w:r w:rsidRPr="001B2F93">
              <w:rPr>
                <w:rFonts w:eastAsia="Calibri"/>
                <w:sz w:val="20"/>
                <w:szCs w:val="20"/>
                <w:u w:val="single"/>
              </w:rPr>
              <w:t>Requirement (2.6)</w:t>
            </w:r>
            <w:r w:rsidRPr="001B2F93">
              <w:rPr>
                <w:rFonts w:eastAsia="Calibri"/>
                <w:sz w:val="20"/>
                <w:szCs w:val="20"/>
              </w:rPr>
              <w:t xml:space="preserve"> </w:t>
            </w:r>
          </w:p>
          <w:p w14:paraId="328C63A2" w14:textId="1BD35388" w:rsidR="001B2F93" w:rsidRPr="001B2F93" w:rsidRDefault="001B2F93" w:rsidP="001414F5">
            <w:pPr>
              <w:tabs>
                <w:tab w:val="left" w:pos="285"/>
              </w:tabs>
              <w:contextualSpacing/>
              <w:jc w:val="both"/>
              <w:rPr>
                <w:rFonts w:eastAsia="Calibri"/>
                <w:sz w:val="20"/>
                <w:szCs w:val="20"/>
              </w:rPr>
            </w:pPr>
            <w:r w:rsidRPr="001B2F93">
              <w:rPr>
                <w:rFonts w:eastAsia="Calibri"/>
                <w:sz w:val="20"/>
                <w:szCs w:val="20"/>
              </w:rPr>
              <w:t xml:space="preserve">State participation. Where state participation in the extractive industries gives rise to material revenue payments, implementing countries must </w:t>
            </w:r>
            <w:r w:rsidR="0072012D" w:rsidRPr="001B2F93">
              <w:rPr>
                <w:rFonts w:eastAsia="Calibri"/>
                <w:sz w:val="20"/>
                <w:szCs w:val="20"/>
              </w:rPr>
              <w:t>disclose</w:t>
            </w:r>
            <w:r w:rsidRPr="001B2F93">
              <w:rPr>
                <w:rFonts w:eastAsia="Calibri"/>
                <w:sz w:val="20"/>
                <w:szCs w:val="20"/>
              </w:rPr>
              <w:t xml:space="preserve"> a) An explanation of the prevailing rules and practices regarding the financial relationship between the government and state-owned enterprises (SOEs), e.g., the rules and practices governing transfers of funds </w:t>
            </w:r>
            <w:r w:rsidRPr="001B2F93">
              <w:rPr>
                <w:rFonts w:eastAsia="Calibri"/>
                <w:sz w:val="20"/>
                <w:szCs w:val="20"/>
              </w:rPr>
              <w:lastRenderedPageBreak/>
              <w:t>between the SOE(s) and the state, retained earnings, reinvestment, and third-party financing.  For EITI reporting, an SOE is a wholly or majority government-owned company engaged in extractive activities on behalf of the government. Based on this, the MSGs are encouraged to discuss and document their definition of SOEs, taking national laws and government structures into account. b) Disclosures from the government and SOE(s) of their level of ownership in mining, oil, and gas companies operating within the country’s oil, gas, and mining sector, including those held by SOE subsidiaries and joint ventures and any changes in the level of ownership during the reporting period.  This information should include details regarding the terms attached to their equity stake, including their responsibility to cover expenses at various phases of the project cycle, e.g., full-paid equity, free equity, and carried interest. Where there have been government and SOE(s) ownership level changes during the EITI reporting period, the government and SOE(s) are expected to disclose the transaction terms, including details regarding valuation and revenues. Where the government and SOE(s) have provided loans or loan guarantees to mining, oil, and gas companies operating within the country, details on these transactions should be disclosed</w:t>
            </w:r>
          </w:p>
        </w:tc>
        <w:tc>
          <w:tcPr>
            <w:tcW w:w="5400" w:type="dxa"/>
          </w:tcPr>
          <w:p w14:paraId="3A79A9DB" w14:textId="77777777" w:rsidR="001B2F93" w:rsidRPr="001B2F93" w:rsidRDefault="001B2F93" w:rsidP="00840A6A">
            <w:pPr>
              <w:contextualSpacing/>
              <w:jc w:val="both"/>
              <w:rPr>
                <w:rFonts w:eastAsia="Calibri"/>
                <w:sz w:val="20"/>
                <w:szCs w:val="20"/>
              </w:rPr>
            </w:pPr>
            <w:r w:rsidRPr="001B2F93">
              <w:rPr>
                <w:rFonts w:eastAsia="Calibri"/>
                <w:sz w:val="20"/>
                <w:szCs w:val="20"/>
              </w:rPr>
              <w:lastRenderedPageBreak/>
              <w:t xml:space="preserve">The legal and institutional framework inclusive of the fiscal regimes governing mining and oil and gas are comprehensively presented in the Contextual section of the EITI reports. </w:t>
            </w:r>
          </w:p>
          <w:p w14:paraId="127A1CF3" w14:textId="1AF344A9" w:rsidR="001B2F93" w:rsidRPr="00BE26A4" w:rsidRDefault="001B2F93" w:rsidP="00840A6A">
            <w:pPr>
              <w:shd w:val="clear" w:color="auto" w:fill="FFFFFF"/>
              <w:spacing w:before="100" w:beforeAutospacing="1" w:after="100" w:afterAutospacing="1"/>
              <w:jc w:val="both"/>
              <w:rPr>
                <w:color w:val="707070"/>
                <w:sz w:val="20"/>
                <w:szCs w:val="20"/>
              </w:rPr>
            </w:pPr>
            <w:r w:rsidRPr="001B2F93">
              <w:rPr>
                <w:sz w:val="20"/>
                <w:szCs w:val="20"/>
              </w:rPr>
              <w:t xml:space="preserve">A clear statement issues  by the Ministry of </w:t>
            </w:r>
            <w:r w:rsidR="00E65192">
              <w:rPr>
                <w:sz w:val="20"/>
                <w:szCs w:val="20"/>
              </w:rPr>
              <w:t>N</w:t>
            </w:r>
            <w:r w:rsidRPr="001B2F93">
              <w:rPr>
                <w:sz w:val="20"/>
                <w:szCs w:val="20"/>
              </w:rPr>
              <w:t xml:space="preserve">atural </w:t>
            </w:r>
            <w:r w:rsidR="00E65192">
              <w:rPr>
                <w:sz w:val="20"/>
                <w:szCs w:val="20"/>
              </w:rPr>
              <w:t>R</w:t>
            </w:r>
            <w:r w:rsidRPr="001B2F93">
              <w:rPr>
                <w:sz w:val="20"/>
                <w:szCs w:val="20"/>
              </w:rPr>
              <w:t xml:space="preserve">esources on contract transparency is accessible at the GYEITI website  at: </w:t>
            </w:r>
            <w:hyperlink r:id="rId28" w:history="1">
              <w:r w:rsidRPr="000A4E1E">
                <w:rPr>
                  <w:b/>
                  <w:bCs/>
                  <w:sz w:val="20"/>
                  <w:szCs w:val="20"/>
                  <w:u w:val="single"/>
                </w:rPr>
                <w:t>MNR Statement on Contract transparency - EITI</w:t>
              </w:r>
            </w:hyperlink>
            <w:r w:rsidR="00B36743" w:rsidRPr="000A4E1E">
              <w:rPr>
                <w:b/>
                <w:bCs/>
              </w:rPr>
              <w:t>.</w:t>
            </w:r>
            <w:r w:rsidR="00B36743">
              <w:t xml:space="preserve"> </w:t>
            </w:r>
          </w:p>
          <w:p w14:paraId="71B548A0" w14:textId="77777777" w:rsidR="001B2F93" w:rsidRPr="001B2F93" w:rsidRDefault="001B2F93" w:rsidP="00840A6A">
            <w:pPr>
              <w:shd w:val="clear" w:color="auto" w:fill="FFFFFF"/>
              <w:spacing w:before="100" w:beforeAutospacing="1" w:after="100" w:afterAutospacing="1"/>
              <w:jc w:val="both"/>
              <w:rPr>
                <w:sz w:val="20"/>
                <w:szCs w:val="20"/>
              </w:rPr>
            </w:pPr>
            <w:r w:rsidRPr="001B2F93">
              <w:rPr>
                <w:sz w:val="20"/>
                <w:szCs w:val="20"/>
              </w:rPr>
              <w:t>In keeping with the EITI Standard to disclose contracts and licenses entered into or amended from 1 January 2021 and to ensure transparency and access to information, public access to all contracts, licenses, and permits in the extractive sector are available at no cost.</w:t>
            </w:r>
          </w:p>
          <w:p w14:paraId="52B024B9" w14:textId="77777777" w:rsidR="001B2F93" w:rsidRPr="001B2F93" w:rsidRDefault="001B2F93" w:rsidP="00840A6A">
            <w:pPr>
              <w:shd w:val="clear" w:color="auto" w:fill="FFFFFF"/>
              <w:spacing w:before="100" w:beforeAutospacing="1" w:after="100" w:afterAutospacing="1"/>
              <w:jc w:val="both"/>
              <w:rPr>
                <w:sz w:val="20"/>
                <w:szCs w:val="20"/>
              </w:rPr>
            </w:pPr>
            <w:r w:rsidRPr="001B2F93">
              <w:rPr>
                <w:sz w:val="20"/>
                <w:szCs w:val="20"/>
              </w:rPr>
              <w:t>In keeping with the laws of Guyana, the right to withhold certain sensitive information on contracts, licenses, and permits are upheld by the Ministry of Natural Resources.</w:t>
            </w:r>
          </w:p>
          <w:p w14:paraId="4A7DBE20" w14:textId="1F1DC27F" w:rsidR="001B2F93" w:rsidRPr="001B2F93" w:rsidRDefault="001B2F93" w:rsidP="00840A6A">
            <w:pPr>
              <w:shd w:val="clear" w:color="auto" w:fill="FFFFFF"/>
              <w:spacing w:before="100" w:beforeAutospacing="1" w:after="100" w:afterAutospacing="1"/>
              <w:jc w:val="both"/>
              <w:rPr>
                <w:sz w:val="20"/>
                <w:szCs w:val="20"/>
              </w:rPr>
            </w:pPr>
            <w:r w:rsidRPr="001B2F93">
              <w:rPr>
                <w:sz w:val="20"/>
                <w:szCs w:val="20"/>
              </w:rPr>
              <w:lastRenderedPageBreak/>
              <w:t>Oil and Gas contracts can be found on the website of the </w:t>
            </w:r>
            <w:hyperlink r:id="rId29" w:history="1">
              <w:r w:rsidRPr="001B2F93">
                <w:rPr>
                  <w:sz w:val="20"/>
                  <w:szCs w:val="20"/>
                  <w:u w:val="single"/>
                  <w:bdr w:val="none" w:sz="0" w:space="0" w:color="auto" w:frame="1"/>
                </w:rPr>
                <w:t>Petroleum Department</w:t>
              </w:r>
            </w:hyperlink>
            <w:r w:rsidRPr="001B2F93">
              <w:rPr>
                <w:sz w:val="20"/>
                <w:szCs w:val="20"/>
              </w:rPr>
              <w:t>.</w:t>
            </w:r>
          </w:p>
          <w:p w14:paraId="54F3A133" w14:textId="77777777" w:rsidR="001B2F93" w:rsidRPr="001B2F93" w:rsidRDefault="001B2F93" w:rsidP="00840A6A">
            <w:pPr>
              <w:shd w:val="clear" w:color="auto" w:fill="FFFFFF"/>
              <w:spacing w:before="100" w:beforeAutospacing="1" w:after="100" w:afterAutospacing="1"/>
              <w:jc w:val="both"/>
              <w:rPr>
                <w:sz w:val="20"/>
                <w:szCs w:val="20"/>
              </w:rPr>
            </w:pPr>
            <w:r w:rsidRPr="001B2F93">
              <w:rPr>
                <w:sz w:val="20"/>
                <w:szCs w:val="20"/>
              </w:rPr>
              <w:t>Mining contracts can be found on the website of the </w:t>
            </w:r>
            <w:hyperlink r:id="rId30" w:history="1">
              <w:r w:rsidRPr="001B2F93">
                <w:rPr>
                  <w:sz w:val="20"/>
                  <w:szCs w:val="20"/>
                  <w:u w:val="single"/>
                  <w:bdr w:val="none" w:sz="0" w:space="0" w:color="auto" w:frame="1"/>
                </w:rPr>
                <w:t>Ministry of Finance</w:t>
              </w:r>
            </w:hyperlink>
            <w:r w:rsidRPr="001B2F93">
              <w:rPr>
                <w:sz w:val="20"/>
                <w:szCs w:val="20"/>
              </w:rPr>
              <w:t xml:space="preserve">. </w:t>
            </w:r>
          </w:p>
          <w:p w14:paraId="217BF79F" w14:textId="77777777" w:rsidR="001B2F93" w:rsidRPr="001B2F93" w:rsidRDefault="001B2F93" w:rsidP="00840A6A">
            <w:pPr>
              <w:shd w:val="clear" w:color="auto" w:fill="FFFFFF"/>
              <w:spacing w:before="100" w:beforeAutospacing="1" w:after="100" w:afterAutospacing="1"/>
              <w:jc w:val="both"/>
              <w:rPr>
                <w:sz w:val="20"/>
                <w:szCs w:val="20"/>
              </w:rPr>
            </w:pPr>
            <w:r w:rsidRPr="001B2F93">
              <w:rPr>
                <w:sz w:val="20"/>
                <w:szCs w:val="20"/>
              </w:rPr>
              <w:t>A </w:t>
            </w:r>
            <w:hyperlink r:id="rId31" w:history="1">
              <w:r w:rsidRPr="001B2F93">
                <w:rPr>
                  <w:sz w:val="20"/>
                  <w:szCs w:val="20"/>
                  <w:u w:val="single"/>
                  <w:bdr w:val="none" w:sz="0" w:space="0" w:color="auto" w:frame="1"/>
                </w:rPr>
                <w:t>mining cadastral</w:t>
              </w:r>
            </w:hyperlink>
            <w:r w:rsidRPr="001B2F93">
              <w:rPr>
                <w:sz w:val="20"/>
                <w:szCs w:val="20"/>
              </w:rPr>
              <w:t>  can be accessed at the Guyana Geology and Mines Commission (GGMC). This is available to the public at no cost and provides detailed information on licensing, including location, acreage, date of application, etc.</w:t>
            </w:r>
          </w:p>
          <w:p w14:paraId="0022A126" w14:textId="6F003126" w:rsidR="001B2F93" w:rsidRPr="00714055" w:rsidRDefault="001B2F93" w:rsidP="00840A6A">
            <w:pPr>
              <w:shd w:val="clear" w:color="auto" w:fill="FFFFFF"/>
              <w:spacing w:before="100" w:beforeAutospacing="1" w:after="100" w:afterAutospacing="1"/>
              <w:jc w:val="both"/>
              <w:rPr>
                <w:sz w:val="20"/>
                <w:szCs w:val="20"/>
              </w:rPr>
            </w:pPr>
            <w:r w:rsidRPr="001B2F93">
              <w:rPr>
                <w:sz w:val="20"/>
                <w:szCs w:val="20"/>
              </w:rPr>
              <w:t>The Forestry Commission maintains a manual database of forest licenses and permits. The MNR is working with the Ministry of Agriculture to develop an online register of fisheries licenses.</w:t>
            </w:r>
          </w:p>
          <w:p w14:paraId="4B8CEA4C" w14:textId="26EAFF87" w:rsidR="001B2F93" w:rsidRPr="001B2F93" w:rsidRDefault="001B2F93" w:rsidP="00840A6A">
            <w:pPr>
              <w:contextualSpacing/>
              <w:jc w:val="both"/>
              <w:rPr>
                <w:rFonts w:eastAsia="Calibri"/>
                <w:sz w:val="20"/>
                <w:szCs w:val="20"/>
              </w:rPr>
            </w:pPr>
            <w:r w:rsidRPr="001B2F93">
              <w:rPr>
                <w:sz w:val="20"/>
                <w:szCs w:val="20"/>
              </w:rPr>
              <w:t xml:space="preserve">Accessible on the GYEITI website </w:t>
            </w:r>
            <w:r w:rsidR="00973A9E">
              <w:rPr>
                <w:sz w:val="20"/>
                <w:szCs w:val="20"/>
              </w:rPr>
              <w:t>are</w:t>
            </w:r>
            <w:r w:rsidRPr="001B2F93">
              <w:rPr>
                <w:sz w:val="20"/>
                <w:szCs w:val="20"/>
              </w:rPr>
              <w:t xml:space="preserve"> the </w:t>
            </w:r>
            <w:r w:rsidR="00035093" w:rsidRPr="00E10C06">
              <w:rPr>
                <w:sz w:val="20"/>
                <w:szCs w:val="20"/>
              </w:rPr>
              <w:t>Mineral</w:t>
            </w:r>
            <w:r w:rsidRPr="00E10C06">
              <w:rPr>
                <w:sz w:val="20"/>
                <w:szCs w:val="20"/>
              </w:rPr>
              <w:t xml:space="preserve"> property  Map at: </w:t>
            </w:r>
            <w:hyperlink r:id="rId32" w:history="1">
              <w:r w:rsidRPr="00E10C06">
                <w:rPr>
                  <w:color w:val="0000FF"/>
                  <w:sz w:val="20"/>
                  <w:szCs w:val="20"/>
                  <w:u w:val="single"/>
                </w:rPr>
                <w:t>Mineral Property Map</w:t>
              </w:r>
            </w:hyperlink>
            <w:r w:rsidRPr="00E10C06">
              <w:rPr>
                <w:sz w:val="20"/>
                <w:szCs w:val="20"/>
              </w:rPr>
              <w:t xml:space="preserve"> and </w:t>
            </w:r>
            <w:r w:rsidRPr="00201EBC">
              <w:rPr>
                <w:sz w:val="20"/>
                <w:szCs w:val="20"/>
              </w:rPr>
              <w:t xml:space="preserve">the forestry </w:t>
            </w:r>
            <w:r w:rsidRPr="00201EBC">
              <w:rPr>
                <w:rFonts w:eastAsia="Calibri"/>
                <w:sz w:val="20"/>
                <w:szCs w:val="20"/>
              </w:rPr>
              <w:t>at:</w:t>
            </w:r>
            <w:r w:rsidRPr="00201EBC">
              <w:rPr>
                <w:sz w:val="20"/>
                <w:szCs w:val="20"/>
              </w:rPr>
              <w:t xml:space="preserve"> </w:t>
            </w:r>
            <w:hyperlink r:id="rId33" w:history="1">
              <w:r w:rsidRPr="00201EBC">
                <w:rPr>
                  <w:color w:val="0000FF"/>
                  <w:sz w:val="20"/>
                  <w:szCs w:val="20"/>
                  <w:u w:val="single"/>
                </w:rPr>
                <w:t>Guyana Forestry Commission Forest Allocation Map</w:t>
              </w:r>
            </w:hyperlink>
            <w:r w:rsidR="00035093" w:rsidRPr="00201EBC">
              <w:t>.</w:t>
            </w:r>
          </w:p>
          <w:p w14:paraId="7DA7B017" w14:textId="77777777" w:rsidR="001B2F93" w:rsidRPr="001B2F93" w:rsidRDefault="001B2F93" w:rsidP="00840A6A">
            <w:pPr>
              <w:contextualSpacing/>
              <w:jc w:val="both"/>
              <w:rPr>
                <w:rFonts w:eastAsia="Calibri"/>
                <w:sz w:val="20"/>
                <w:szCs w:val="20"/>
              </w:rPr>
            </w:pPr>
          </w:p>
          <w:p w14:paraId="251B53E0" w14:textId="4F445731" w:rsidR="001B2F93" w:rsidRPr="001B2F93" w:rsidRDefault="001B2F93" w:rsidP="00840A6A">
            <w:pPr>
              <w:contextualSpacing/>
              <w:jc w:val="both"/>
              <w:rPr>
                <w:rFonts w:eastAsia="Calibri"/>
                <w:sz w:val="20"/>
                <w:szCs w:val="20"/>
              </w:rPr>
            </w:pPr>
            <w:r w:rsidRPr="001B2F93">
              <w:rPr>
                <w:sz w:val="20"/>
                <w:szCs w:val="20"/>
              </w:rPr>
              <w:t xml:space="preserve">Petroleum and Mining contracts Licenses and agreements can be accessed on the GYEITI Website at: </w:t>
            </w:r>
            <w:hyperlink r:id="rId34" w:history="1">
              <w:r w:rsidRPr="001B2F93">
                <w:rPr>
                  <w:color w:val="0000FF"/>
                  <w:sz w:val="20"/>
                  <w:szCs w:val="20"/>
                  <w:u w:val="single"/>
                </w:rPr>
                <w:t>Contracts &amp; Licences - EITI</w:t>
              </w:r>
            </w:hyperlink>
            <w:r w:rsidR="00132F67">
              <w:t xml:space="preserve">. </w:t>
            </w:r>
          </w:p>
          <w:p w14:paraId="246D730C" w14:textId="77777777" w:rsidR="001B2F93" w:rsidRPr="001B2F93" w:rsidRDefault="001B2F93" w:rsidP="00840A6A">
            <w:pPr>
              <w:ind w:left="720"/>
              <w:contextualSpacing/>
              <w:jc w:val="both"/>
              <w:rPr>
                <w:rFonts w:eastAsia="Calibri"/>
                <w:sz w:val="20"/>
                <w:szCs w:val="20"/>
              </w:rPr>
            </w:pPr>
          </w:p>
          <w:p w14:paraId="15E34F74" w14:textId="77777777" w:rsidR="001B2F93" w:rsidRPr="001B2F93" w:rsidRDefault="001B2F93" w:rsidP="00840A6A">
            <w:pPr>
              <w:ind w:left="720"/>
              <w:contextualSpacing/>
              <w:jc w:val="both"/>
              <w:rPr>
                <w:rFonts w:eastAsia="Calibri"/>
                <w:sz w:val="20"/>
                <w:szCs w:val="20"/>
              </w:rPr>
            </w:pPr>
          </w:p>
          <w:p w14:paraId="4C6BE28B" w14:textId="77777777" w:rsidR="001B2F93" w:rsidRPr="001B2F93" w:rsidRDefault="001B2F93" w:rsidP="00840A6A">
            <w:pPr>
              <w:ind w:left="720"/>
              <w:contextualSpacing/>
              <w:jc w:val="both"/>
              <w:rPr>
                <w:rFonts w:eastAsia="Calibri"/>
                <w:sz w:val="20"/>
                <w:szCs w:val="20"/>
              </w:rPr>
            </w:pPr>
          </w:p>
          <w:p w14:paraId="61DEBA52" w14:textId="77777777" w:rsidR="001B2F93" w:rsidRPr="001B2F93" w:rsidRDefault="001B2F93" w:rsidP="00840A6A">
            <w:pPr>
              <w:ind w:left="720"/>
              <w:contextualSpacing/>
              <w:jc w:val="both"/>
              <w:rPr>
                <w:rFonts w:eastAsia="Calibri"/>
                <w:sz w:val="20"/>
                <w:szCs w:val="20"/>
              </w:rPr>
            </w:pPr>
          </w:p>
          <w:p w14:paraId="389ED519" w14:textId="77777777" w:rsidR="001B2F93" w:rsidRPr="001B2F93" w:rsidRDefault="001B2F93" w:rsidP="00840A6A">
            <w:pPr>
              <w:ind w:left="720"/>
              <w:contextualSpacing/>
              <w:jc w:val="both"/>
              <w:rPr>
                <w:rFonts w:eastAsia="Calibri"/>
                <w:sz w:val="20"/>
                <w:szCs w:val="20"/>
              </w:rPr>
            </w:pPr>
          </w:p>
          <w:p w14:paraId="4061FCD8" w14:textId="77777777" w:rsidR="001B2F93" w:rsidRPr="001B2F93" w:rsidRDefault="001B2F93" w:rsidP="00840A6A">
            <w:pPr>
              <w:ind w:left="720"/>
              <w:contextualSpacing/>
              <w:jc w:val="both"/>
              <w:rPr>
                <w:rFonts w:eastAsia="Calibri"/>
                <w:sz w:val="20"/>
                <w:szCs w:val="20"/>
              </w:rPr>
            </w:pPr>
          </w:p>
          <w:p w14:paraId="0A2DBF5E" w14:textId="77777777" w:rsidR="001B2F93" w:rsidRPr="001B2F93" w:rsidRDefault="001B2F93" w:rsidP="00840A6A">
            <w:pPr>
              <w:ind w:left="720"/>
              <w:contextualSpacing/>
              <w:jc w:val="both"/>
              <w:rPr>
                <w:rFonts w:eastAsia="Calibri"/>
                <w:sz w:val="20"/>
                <w:szCs w:val="20"/>
              </w:rPr>
            </w:pPr>
          </w:p>
          <w:p w14:paraId="181324E9" w14:textId="77777777" w:rsidR="001B2F93" w:rsidRPr="001B2F93" w:rsidRDefault="001B2F93" w:rsidP="00840A6A">
            <w:pPr>
              <w:ind w:left="720"/>
              <w:contextualSpacing/>
              <w:jc w:val="both"/>
              <w:rPr>
                <w:rFonts w:eastAsia="Calibri"/>
                <w:sz w:val="20"/>
                <w:szCs w:val="20"/>
              </w:rPr>
            </w:pPr>
          </w:p>
          <w:p w14:paraId="317BB51E" w14:textId="77777777" w:rsidR="001B2F93" w:rsidRPr="001B2F93" w:rsidRDefault="001B2F93" w:rsidP="00840A6A">
            <w:pPr>
              <w:ind w:left="720"/>
              <w:contextualSpacing/>
              <w:jc w:val="both"/>
              <w:rPr>
                <w:rFonts w:eastAsia="Calibri"/>
                <w:sz w:val="20"/>
                <w:szCs w:val="20"/>
              </w:rPr>
            </w:pPr>
          </w:p>
          <w:p w14:paraId="71E01BC2" w14:textId="77777777" w:rsidR="001B2F93" w:rsidRPr="001B2F93" w:rsidRDefault="001B2F93" w:rsidP="00840A6A">
            <w:pPr>
              <w:ind w:left="720"/>
              <w:contextualSpacing/>
              <w:jc w:val="both"/>
              <w:rPr>
                <w:rFonts w:eastAsia="Calibri"/>
                <w:sz w:val="20"/>
                <w:szCs w:val="20"/>
              </w:rPr>
            </w:pPr>
          </w:p>
          <w:p w14:paraId="3D95D5D7" w14:textId="77777777" w:rsidR="001B2F93" w:rsidRPr="001B2F93" w:rsidRDefault="001B2F93" w:rsidP="00840A6A">
            <w:pPr>
              <w:ind w:left="720"/>
              <w:contextualSpacing/>
              <w:jc w:val="both"/>
              <w:rPr>
                <w:rFonts w:eastAsia="Calibri"/>
                <w:sz w:val="20"/>
                <w:szCs w:val="20"/>
              </w:rPr>
            </w:pPr>
          </w:p>
          <w:p w14:paraId="38397664" w14:textId="77777777" w:rsidR="001B2F93" w:rsidRPr="001B2F93" w:rsidRDefault="001B2F93" w:rsidP="00840A6A">
            <w:pPr>
              <w:ind w:left="720"/>
              <w:contextualSpacing/>
              <w:jc w:val="both"/>
              <w:rPr>
                <w:rFonts w:eastAsia="Calibri"/>
                <w:sz w:val="20"/>
                <w:szCs w:val="20"/>
              </w:rPr>
            </w:pPr>
          </w:p>
          <w:p w14:paraId="0F7FB9A4" w14:textId="77777777" w:rsidR="001B2F93" w:rsidRPr="001B2F93" w:rsidRDefault="001B2F93" w:rsidP="00840A6A">
            <w:pPr>
              <w:ind w:left="720"/>
              <w:contextualSpacing/>
              <w:jc w:val="both"/>
              <w:rPr>
                <w:rFonts w:eastAsia="Calibri"/>
                <w:sz w:val="20"/>
                <w:szCs w:val="20"/>
              </w:rPr>
            </w:pPr>
          </w:p>
          <w:p w14:paraId="32017DDA" w14:textId="77777777" w:rsidR="001B2F93" w:rsidRPr="001B2F93" w:rsidRDefault="001B2F93" w:rsidP="00840A6A">
            <w:pPr>
              <w:ind w:left="720"/>
              <w:contextualSpacing/>
              <w:jc w:val="both"/>
              <w:rPr>
                <w:rFonts w:eastAsia="Calibri"/>
                <w:sz w:val="20"/>
                <w:szCs w:val="20"/>
              </w:rPr>
            </w:pPr>
          </w:p>
          <w:p w14:paraId="7E45F3A7" w14:textId="77777777" w:rsidR="001B2F93" w:rsidRPr="001B2F93" w:rsidRDefault="001B2F93" w:rsidP="00840A6A">
            <w:pPr>
              <w:ind w:left="720"/>
              <w:contextualSpacing/>
              <w:jc w:val="both"/>
              <w:rPr>
                <w:rFonts w:eastAsia="Calibri"/>
                <w:sz w:val="20"/>
                <w:szCs w:val="20"/>
              </w:rPr>
            </w:pPr>
          </w:p>
          <w:p w14:paraId="5CA1373E" w14:textId="77777777" w:rsidR="001B2F93" w:rsidRPr="001B2F93" w:rsidRDefault="001B2F93" w:rsidP="00840A6A">
            <w:pPr>
              <w:ind w:left="720"/>
              <w:contextualSpacing/>
              <w:jc w:val="both"/>
              <w:rPr>
                <w:rFonts w:eastAsia="Calibri"/>
                <w:sz w:val="20"/>
                <w:szCs w:val="20"/>
              </w:rPr>
            </w:pPr>
          </w:p>
          <w:p w14:paraId="2FD11CD1" w14:textId="77777777" w:rsidR="001B2F93" w:rsidRPr="001B2F93" w:rsidRDefault="001B2F93" w:rsidP="00840A6A">
            <w:pPr>
              <w:ind w:left="720"/>
              <w:contextualSpacing/>
              <w:jc w:val="both"/>
              <w:rPr>
                <w:rFonts w:eastAsia="Calibri"/>
                <w:sz w:val="20"/>
                <w:szCs w:val="20"/>
              </w:rPr>
            </w:pPr>
          </w:p>
          <w:p w14:paraId="044B48DC" w14:textId="77777777" w:rsidR="001B2F93" w:rsidRPr="001B2F93" w:rsidRDefault="001B2F93" w:rsidP="00840A6A">
            <w:pPr>
              <w:ind w:left="720"/>
              <w:contextualSpacing/>
              <w:jc w:val="both"/>
              <w:rPr>
                <w:rFonts w:eastAsia="Calibri"/>
                <w:sz w:val="20"/>
                <w:szCs w:val="20"/>
              </w:rPr>
            </w:pPr>
          </w:p>
          <w:p w14:paraId="5736C59C" w14:textId="77777777" w:rsidR="001B2F93" w:rsidRPr="001B2F93" w:rsidRDefault="001B2F93" w:rsidP="00840A6A">
            <w:pPr>
              <w:ind w:left="720"/>
              <w:contextualSpacing/>
              <w:jc w:val="both"/>
              <w:rPr>
                <w:rFonts w:eastAsia="Calibri"/>
                <w:sz w:val="20"/>
                <w:szCs w:val="20"/>
              </w:rPr>
            </w:pPr>
          </w:p>
          <w:p w14:paraId="6B47D985" w14:textId="77777777" w:rsidR="001B2F93" w:rsidRPr="001B2F93" w:rsidRDefault="001B2F93" w:rsidP="00840A6A">
            <w:pPr>
              <w:ind w:left="720"/>
              <w:contextualSpacing/>
              <w:jc w:val="both"/>
              <w:rPr>
                <w:rFonts w:eastAsia="Calibri"/>
                <w:sz w:val="20"/>
                <w:szCs w:val="20"/>
              </w:rPr>
            </w:pPr>
          </w:p>
          <w:p w14:paraId="3E70BA14" w14:textId="77777777" w:rsidR="001B2F93" w:rsidRPr="001B2F93" w:rsidRDefault="001B2F93" w:rsidP="00840A6A">
            <w:pPr>
              <w:ind w:left="720"/>
              <w:contextualSpacing/>
              <w:jc w:val="both"/>
              <w:rPr>
                <w:rFonts w:eastAsia="Calibri"/>
                <w:sz w:val="20"/>
                <w:szCs w:val="20"/>
              </w:rPr>
            </w:pPr>
          </w:p>
          <w:p w14:paraId="059F675D" w14:textId="77777777" w:rsidR="001B2F93" w:rsidRPr="001B2F93" w:rsidRDefault="001B2F93" w:rsidP="00840A6A">
            <w:pPr>
              <w:ind w:left="720"/>
              <w:contextualSpacing/>
              <w:jc w:val="both"/>
              <w:rPr>
                <w:rFonts w:eastAsia="Calibri"/>
                <w:sz w:val="20"/>
                <w:szCs w:val="20"/>
              </w:rPr>
            </w:pPr>
          </w:p>
          <w:p w14:paraId="4F4D02F2" w14:textId="77777777" w:rsidR="001B2F93" w:rsidRPr="001B2F93" w:rsidRDefault="001B2F93" w:rsidP="00840A6A">
            <w:pPr>
              <w:ind w:left="720"/>
              <w:contextualSpacing/>
              <w:jc w:val="both"/>
              <w:rPr>
                <w:rFonts w:eastAsia="Calibri"/>
                <w:sz w:val="20"/>
                <w:szCs w:val="20"/>
              </w:rPr>
            </w:pPr>
          </w:p>
          <w:p w14:paraId="5876E58A" w14:textId="77777777" w:rsidR="001B2F93" w:rsidRPr="001B2F93" w:rsidRDefault="001B2F93" w:rsidP="00840A6A">
            <w:pPr>
              <w:ind w:left="720"/>
              <w:contextualSpacing/>
              <w:jc w:val="both"/>
              <w:rPr>
                <w:rFonts w:eastAsia="Calibri"/>
                <w:sz w:val="20"/>
                <w:szCs w:val="20"/>
              </w:rPr>
            </w:pPr>
          </w:p>
          <w:p w14:paraId="6450C0FD" w14:textId="77777777" w:rsidR="001B2F93" w:rsidRPr="001B2F93" w:rsidRDefault="001B2F93" w:rsidP="00840A6A">
            <w:pPr>
              <w:ind w:left="720"/>
              <w:contextualSpacing/>
              <w:jc w:val="both"/>
              <w:rPr>
                <w:rFonts w:eastAsia="Calibri"/>
                <w:sz w:val="20"/>
                <w:szCs w:val="20"/>
              </w:rPr>
            </w:pPr>
          </w:p>
          <w:p w14:paraId="09088C4B" w14:textId="77777777" w:rsidR="001B2F93" w:rsidRPr="001B2F93" w:rsidRDefault="001B2F93" w:rsidP="00840A6A">
            <w:pPr>
              <w:ind w:left="720"/>
              <w:contextualSpacing/>
              <w:jc w:val="both"/>
              <w:rPr>
                <w:rFonts w:eastAsia="Calibri"/>
                <w:sz w:val="20"/>
                <w:szCs w:val="20"/>
              </w:rPr>
            </w:pPr>
          </w:p>
          <w:p w14:paraId="27FADFAE" w14:textId="77777777" w:rsidR="001B2F93" w:rsidRPr="001B2F93" w:rsidRDefault="001B2F93" w:rsidP="00840A6A">
            <w:pPr>
              <w:ind w:left="720"/>
              <w:contextualSpacing/>
              <w:jc w:val="both"/>
              <w:rPr>
                <w:rFonts w:eastAsia="Calibri"/>
                <w:sz w:val="20"/>
                <w:szCs w:val="20"/>
              </w:rPr>
            </w:pPr>
          </w:p>
          <w:p w14:paraId="5E63E628" w14:textId="77777777" w:rsidR="001B2F93" w:rsidRPr="001B2F93" w:rsidRDefault="001B2F93" w:rsidP="00840A6A">
            <w:pPr>
              <w:ind w:left="720"/>
              <w:contextualSpacing/>
              <w:jc w:val="both"/>
              <w:rPr>
                <w:rFonts w:eastAsia="Calibri"/>
                <w:sz w:val="20"/>
                <w:szCs w:val="20"/>
              </w:rPr>
            </w:pPr>
          </w:p>
          <w:p w14:paraId="39818577" w14:textId="77777777" w:rsidR="001B2F93" w:rsidRPr="001B2F93" w:rsidRDefault="001B2F93" w:rsidP="00840A6A">
            <w:pPr>
              <w:ind w:left="720"/>
              <w:contextualSpacing/>
              <w:jc w:val="both"/>
              <w:rPr>
                <w:rFonts w:eastAsia="Calibri"/>
                <w:sz w:val="20"/>
                <w:szCs w:val="20"/>
              </w:rPr>
            </w:pPr>
          </w:p>
          <w:p w14:paraId="38EA0684" w14:textId="77777777" w:rsidR="001B2F93" w:rsidRPr="001B2F93" w:rsidRDefault="001B2F93" w:rsidP="00840A6A">
            <w:pPr>
              <w:ind w:left="720"/>
              <w:contextualSpacing/>
              <w:jc w:val="both"/>
              <w:rPr>
                <w:rFonts w:eastAsia="Calibri"/>
                <w:sz w:val="20"/>
                <w:szCs w:val="20"/>
              </w:rPr>
            </w:pPr>
          </w:p>
          <w:p w14:paraId="0508B918" w14:textId="77777777" w:rsidR="001B2F93" w:rsidRPr="001B2F93" w:rsidRDefault="001B2F93" w:rsidP="00840A6A">
            <w:pPr>
              <w:ind w:left="720"/>
              <w:contextualSpacing/>
              <w:jc w:val="both"/>
              <w:rPr>
                <w:rFonts w:eastAsia="Calibri"/>
                <w:sz w:val="20"/>
                <w:szCs w:val="20"/>
              </w:rPr>
            </w:pPr>
          </w:p>
          <w:p w14:paraId="3AB1779B" w14:textId="77777777" w:rsidR="001B2F93" w:rsidRPr="001B2F93" w:rsidRDefault="001B2F93" w:rsidP="00840A6A">
            <w:pPr>
              <w:ind w:left="720"/>
              <w:contextualSpacing/>
              <w:jc w:val="both"/>
              <w:rPr>
                <w:rFonts w:eastAsia="Calibri"/>
                <w:sz w:val="20"/>
                <w:szCs w:val="20"/>
              </w:rPr>
            </w:pPr>
          </w:p>
          <w:p w14:paraId="45463D64" w14:textId="77777777" w:rsidR="001B2F93" w:rsidRPr="001B2F93" w:rsidRDefault="001B2F93" w:rsidP="00840A6A">
            <w:pPr>
              <w:ind w:left="720"/>
              <w:contextualSpacing/>
              <w:jc w:val="both"/>
              <w:rPr>
                <w:rFonts w:eastAsia="Calibri"/>
                <w:sz w:val="20"/>
                <w:szCs w:val="20"/>
              </w:rPr>
            </w:pPr>
          </w:p>
          <w:p w14:paraId="32ADF521" w14:textId="77777777" w:rsidR="001B2F93" w:rsidRPr="001B2F93" w:rsidRDefault="001B2F93" w:rsidP="00840A6A">
            <w:pPr>
              <w:ind w:left="720"/>
              <w:contextualSpacing/>
              <w:jc w:val="both"/>
              <w:rPr>
                <w:rFonts w:eastAsia="Calibri"/>
                <w:sz w:val="20"/>
                <w:szCs w:val="20"/>
              </w:rPr>
            </w:pPr>
          </w:p>
          <w:p w14:paraId="56A1B79F" w14:textId="77777777" w:rsidR="001B2F93" w:rsidRPr="001B2F93" w:rsidRDefault="001B2F93" w:rsidP="00840A6A">
            <w:pPr>
              <w:ind w:left="720"/>
              <w:contextualSpacing/>
              <w:jc w:val="both"/>
              <w:rPr>
                <w:rFonts w:eastAsia="Calibri"/>
                <w:sz w:val="20"/>
                <w:szCs w:val="20"/>
              </w:rPr>
            </w:pPr>
          </w:p>
          <w:p w14:paraId="150E374A" w14:textId="77777777" w:rsidR="001B2F93" w:rsidRPr="001B2F93" w:rsidRDefault="001B2F93" w:rsidP="00840A6A">
            <w:pPr>
              <w:ind w:left="720"/>
              <w:contextualSpacing/>
              <w:jc w:val="both"/>
              <w:rPr>
                <w:rFonts w:eastAsia="Calibri"/>
                <w:sz w:val="20"/>
                <w:szCs w:val="20"/>
              </w:rPr>
            </w:pPr>
          </w:p>
          <w:p w14:paraId="5D6BD445" w14:textId="77777777" w:rsidR="001B2F93" w:rsidRPr="001B2F93" w:rsidRDefault="001B2F93" w:rsidP="00840A6A">
            <w:pPr>
              <w:ind w:left="720"/>
              <w:contextualSpacing/>
              <w:jc w:val="both"/>
              <w:rPr>
                <w:rFonts w:eastAsia="Calibri"/>
                <w:sz w:val="20"/>
                <w:szCs w:val="20"/>
              </w:rPr>
            </w:pPr>
          </w:p>
          <w:p w14:paraId="0CBB325C" w14:textId="77777777" w:rsidR="001B2F93" w:rsidRPr="001B2F93" w:rsidRDefault="001B2F93" w:rsidP="00840A6A">
            <w:pPr>
              <w:ind w:left="720"/>
              <w:contextualSpacing/>
              <w:jc w:val="both"/>
              <w:rPr>
                <w:rFonts w:eastAsia="Calibri"/>
                <w:sz w:val="20"/>
                <w:szCs w:val="20"/>
              </w:rPr>
            </w:pPr>
          </w:p>
          <w:p w14:paraId="0487BE5B" w14:textId="77777777" w:rsidR="001B2F93" w:rsidRPr="001B2F93" w:rsidRDefault="001B2F93" w:rsidP="00840A6A">
            <w:pPr>
              <w:ind w:left="720"/>
              <w:contextualSpacing/>
              <w:jc w:val="both"/>
              <w:rPr>
                <w:rFonts w:eastAsia="Calibri"/>
                <w:sz w:val="20"/>
                <w:szCs w:val="20"/>
              </w:rPr>
            </w:pPr>
          </w:p>
          <w:p w14:paraId="669E4EBF" w14:textId="77777777" w:rsidR="001B2F93" w:rsidRPr="001B2F93" w:rsidRDefault="001B2F93" w:rsidP="00840A6A">
            <w:pPr>
              <w:ind w:left="720"/>
              <w:contextualSpacing/>
              <w:jc w:val="both"/>
              <w:rPr>
                <w:rFonts w:eastAsia="Calibri"/>
                <w:sz w:val="20"/>
                <w:szCs w:val="20"/>
              </w:rPr>
            </w:pPr>
          </w:p>
          <w:p w14:paraId="623FDD3C" w14:textId="77777777" w:rsidR="001B2F93" w:rsidRPr="001B2F93" w:rsidRDefault="001B2F93" w:rsidP="00840A6A">
            <w:pPr>
              <w:ind w:left="720"/>
              <w:contextualSpacing/>
              <w:jc w:val="both"/>
              <w:rPr>
                <w:rFonts w:eastAsia="Calibri"/>
                <w:sz w:val="20"/>
                <w:szCs w:val="20"/>
              </w:rPr>
            </w:pPr>
          </w:p>
          <w:p w14:paraId="47173D8F" w14:textId="77777777" w:rsidR="001B2F93" w:rsidRPr="001B2F93" w:rsidRDefault="001B2F93" w:rsidP="00840A6A">
            <w:pPr>
              <w:ind w:left="720"/>
              <w:contextualSpacing/>
              <w:jc w:val="both"/>
              <w:rPr>
                <w:rFonts w:eastAsia="Calibri"/>
                <w:sz w:val="20"/>
                <w:szCs w:val="20"/>
              </w:rPr>
            </w:pPr>
          </w:p>
          <w:p w14:paraId="61A16CF7" w14:textId="77777777" w:rsidR="001B2F93" w:rsidRPr="001B2F93" w:rsidRDefault="001B2F93" w:rsidP="00840A6A">
            <w:pPr>
              <w:ind w:left="720"/>
              <w:contextualSpacing/>
              <w:jc w:val="both"/>
              <w:rPr>
                <w:rFonts w:eastAsia="Calibri"/>
                <w:sz w:val="20"/>
                <w:szCs w:val="20"/>
              </w:rPr>
            </w:pPr>
          </w:p>
          <w:p w14:paraId="08DE2DA7" w14:textId="77777777" w:rsidR="001B2F93" w:rsidRPr="001B2F93" w:rsidRDefault="001B2F93" w:rsidP="00840A6A">
            <w:pPr>
              <w:ind w:left="720"/>
              <w:contextualSpacing/>
              <w:jc w:val="both"/>
              <w:rPr>
                <w:rFonts w:eastAsia="Calibri"/>
                <w:sz w:val="20"/>
                <w:szCs w:val="20"/>
              </w:rPr>
            </w:pPr>
          </w:p>
          <w:p w14:paraId="4E8A250D" w14:textId="77777777" w:rsidR="001B2F93" w:rsidRPr="001B2F93" w:rsidRDefault="001B2F93" w:rsidP="00840A6A">
            <w:pPr>
              <w:ind w:left="720"/>
              <w:contextualSpacing/>
              <w:jc w:val="both"/>
              <w:rPr>
                <w:rFonts w:eastAsia="Calibri"/>
                <w:sz w:val="20"/>
                <w:szCs w:val="20"/>
              </w:rPr>
            </w:pPr>
          </w:p>
          <w:p w14:paraId="24BC4535" w14:textId="77777777" w:rsidR="001B2F93" w:rsidRPr="001B2F93" w:rsidRDefault="001B2F93" w:rsidP="00840A6A">
            <w:pPr>
              <w:ind w:left="720"/>
              <w:contextualSpacing/>
              <w:jc w:val="both"/>
              <w:rPr>
                <w:rFonts w:eastAsia="Calibri"/>
                <w:sz w:val="20"/>
                <w:szCs w:val="20"/>
              </w:rPr>
            </w:pPr>
          </w:p>
          <w:p w14:paraId="65B7C1CB" w14:textId="77777777" w:rsidR="001B2F93" w:rsidRPr="001B2F93" w:rsidRDefault="001B2F93" w:rsidP="00840A6A">
            <w:pPr>
              <w:ind w:left="720"/>
              <w:contextualSpacing/>
              <w:jc w:val="both"/>
              <w:rPr>
                <w:rFonts w:eastAsia="Calibri"/>
                <w:sz w:val="20"/>
                <w:szCs w:val="20"/>
              </w:rPr>
            </w:pPr>
          </w:p>
          <w:p w14:paraId="559263C8" w14:textId="77777777" w:rsidR="001B2F93" w:rsidRPr="001B2F93" w:rsidRDefault="001B2F93" w:rsidP="00840A6A">
            <w:pPr>
              <w:ind w:left="720"/>
              <w:contextualSpacing/>
              <w:jc w:val="both"/>
              <w:rPr>
                <w:rFonts w:eastAsia="Calibri"/>
                <w:sz w:val="20"/>
                <w:szCs w:val="20"/>
              </w:rPr>
            </w:pPr>
          </w:p>
          <w:p w14:paraId="6C0AE418" w14:textId="77777777" w:rsidR="001B2F93" w:rsidRPr="001B2F93" w:rsidRDefault="001B2F93" w:rsidP="00840A6A">
            <w:pPr>
              <w:ind w:left="720"/>
              <w:contextualSpacing/>
              <w:jc w:val="both"/>
              <w:rPr>
                <w:rFonts w:eastAsia="Calibri"/>
                <w:sz w:val="20"/>
                <w:szCs w:val="20"/>
              </w:rPr>
            </w:pPr>
          </w:p>
          <w:p w14:paraId="78DD50E5" w14:textId="77777777" w:rsidR="001B2F93" w:rsidRPr="001B2F93" w:rsidRDefault="001B2F93" w:rsidP="00840A6A">
            <w:pPr>
              <w:ind w:left="720"/>
              <w:contextualSpacing/>
              <w:jc w:val="both"/>
              <w:rPr>
                <w:rFonts w:eastAsia="Calibri"/>
                <w:sz w:val="20"/>
                <w:szCs w:val="20"/>
              </w:rPr>
            </w:pPr>
          </w:p>
          <w:p w14:paraId="5D755BD9" w14:textId="77777777" w:rsidR="001B2F93" w:rsidRPr="001B2F93" w:rsidRDefault="001B2F93" w:rsidP="00840A6A">
            <w:pPr>
              <w:ind w:left="720"/>
              <w:contextualSpacing/>
              <w:jc w:val="both"/>
              <w:rPr>
                <w:rFonts w:eastAsia="Calibri"/>
                <w:sz w:val="20"/>
                <w:szCs w:val="20"/>
              </w:rPr>
            </w:pPr>
          </w:p>
          <w:p w14:paraId="7A517B01" w14:textId="77777777" w:rsidR="001B2F93" w:rsidRPr="001B2F93" w:rsidRDefault="001B2F93" w:rsidP="00840A6A">
            <w:pPr>
              <w:ind w:left="720"/>
              <w:contextualSpacing/>
              <w:jc w:val="both"/>
              <w:rPr>
                <w:rFonts w:eastAsia="Calibri"/>
                <w:sz w:val="20"/>
                <w:szCs w:val="20"/>
              </w:rPr>
            </w:pPr>
          </w:p>
          <w:p w14:paraId="22E8DA23" w14:textId="77777777" w:rsidR="001B2F93" w:rsidRPr="001B2F93" w:rsidRDefault="001B2F93" w:rsidP="00840A6A">
            <w:pPr>
              <w:ind w:left="720"/>
              <w:contextualSpacing/>
              <w:jc w:val="both"/>
              <w:rPr>
                <w:rFonts w:eastAsia="Calibri"/>
                <w:sz w:val="20"/>
                <w:szCs w:val="20"/>
              </w:rPr>
            </w:pPr>
          </w:p>
          <w:p w14:paraId="5A054575" w14:textId="77777777" w:rsidR="001B2F93" w:rsidRPr="001B2F93" w:rsidRDefault="001B2F93" w:rsidP="00840A6A">
            <w:pPr>
              <w:ind w:left="720"/>
              <w:contextualSpacing/>
              <w:jc w:val="both"/>
              <w:rPr>
                <w:rFonts w:eastAsia="Calibri"/>
                <w:sz w:val="20"/>
                <w:szCs w:val="20"/>
              </w:rPr>
            </w:pPr>
          </w:p>
          <w:p w14:paraId="1746840E" w14:textId="77777777" w:rsidR="001B2F93" w:rsidRPr="001B2F93" w:rsidRDefault="001B2F93" w:rsidP="00840A6A">
            <w:pPr>
              <w:ind w:left="720"/>
              <w:contextualSpacing/>
              <w:jc w:val="both"/>
              <w:rPr>
                <w:rFonts w:eastAsia="Calibri"/>
                <w:sz w:val="20"/>
                <w:szCs w:val="20"/>
              </w:rPr>
            </w:pPr>
          </w:p>
          <w:p w14:paraId="0744CBCE" w14:textId="77777777" w:rsidR="001B2F93" w:rsidRPr="001B2F93" w:rsidRDefault="001B2F93" w:rsidP="00840A6A">
            <w:pPr>
              <w:ind w:left="720"/>
              <w:contextualSpacing/>
              <w:jc w:val="both"/>
              <w:rPr>
                <w:rFonts w:eastAsia="Calibri"/>
                <w:sz w:val="20"/>
                <w:szCs w:val="20"/>
              </w:rPr>
            </w:pPr>
          </w:p>
          <w:p w14:paraId="754B5295" w14:textId="77777777" w:rsidR="001B2F93" w:rsidRPr="001B2F93" w:rsidRDefault="001B2F93" w:rsidP="00840A6A">
            <w:pPr>
              <w:ind w:left="720"/>
              <w:contextualSpacing/>
              <w:jc w:val="both"/>
              <w:rPr>
                <w:rFonts w:eastAsia="Calibri"/>
                <w:sz w:val="20"/>
                <w:szCs w:val="20"/>
              </w:rPr>
            </w:pPr>
          </w:p>
          <w:p w14:paraId="65AC1989" w14:textId="77777777" w:rsidR="001B2F93" w:rsidRPr="001B2F93" w:rsidRDefault="001B2F93" w:rsidP="00840A6A">
            <w:pPr>
              <w:ind w:left="720"/>
              <w:contextualSpacing/>
              <w:jc w:val="both"/>
              <w:rPr>
                <w:rFonts w:eastAsia="Calibri"/>
                <w:sz w:val="20"/>
                <w:szCs w:val="20"/>
              </w:rPr>
            </w:pPr>
          </w:p>
          <w:p w14:paraId="165C7CE8" w14:textId="77777777" w:rsidR="001B2F93" w:rsidRPr="001B2F93" w:rsidRDefault="001B2F93" w:rsidP="00840A6A">
            <w:pPr>
              <w:ind w:left="720"/>
              <w:contextualSpacing/>
              <w:jc w:val="both"/>
              <w:rPr>
                <w:rFonts w:eastAsia="Calibri"/>
                <w:sz w:val="20"/>
                <w:szCs w:val="20"/>
              </w:rPr>
            </w:pPr>
          </w:p>
          <w:p w14:paraId="7530857A" w14:textId="77777777" w:rsidR="001B2F93" w:rsidRPr="001B2F93" w:rsidRDefault="001B2F93" w:rsidP="00840A6A">
            <w:pPr>
              <w:ind w:left="720"/>
              <w:contextualSpacing/>
              <w:jc w:val="both"/>
              <w:rPr>
                <w:rFonts w:eastAsia="Calibri"/>
                <w:sz w:val="20"/>
                <w:szCs w:val="20"/>
              </w:rPr>
            </w:pPr>
          </w:p>
          <w:p w14:paraId="617D982C" w14:textId="77777777" w:rsidR="001B2F93" w:rsidRPr="001B2F93" w:rsidRDefault="001B2F93" w:rsidP="00840A6A">
            <w:pPr>
              <w:ind w:left="720"/>
              <w:contextualSpacing/>
              <w:jc w:val="both"/>
              <w:rPr>
                <w:rFonts w:eastAsia="Calibri"/>
                <w:sz w:val="20"/>
                <w:szCs w:val="20"/>
              </w:rPr>
            </w:pPr>
          </w:p>
          <w:p w14:paraId="2A43BDC2" w14:textId="77777777" w:rsidR="001B2F93" w:rsidRPr="001B2F93" w:rsidRDefault="001B2F93" w:rsidP="00840A6A">
            <w:pPr>
              <w:ind w:left="720"/>
              <w:contextualSpacing/>
              <w:jc w:val="both"/>
              <w:rPr>
                <w:rFonts w:eastAsia="Calibri"/>
                <w:sz w:val="20"/>
                <w:szCs w:val="20"/>
              </w:rPr>
            </w:pPr>
          </w:p>
          <w:p w14:paraId="03D372ED" w14:textId="77777777" w:rsidR="001B2F93" w:rsidRPr="001B2F93" w:rsidRDefault="001B2F93" w:rsidP="00840A6A">
            <w:pPr>
              <w:ind w:left="720"/>
              <w:contextualSpacing/>
              <w:jc w:val="both"/>
              <w:rPr>
                <w:rFonts w:eastAsia="Calibri"/>
                <w:sz w:val="20"/>
                <w:szCs w:val="20"/>
              </w:rPr>
            </w:pPr>
          </w:p>
          <w:p w14:paraId="61ECB175" w14:textId="77777777" w:rsidR="001B2F93" w:rsidRPr="001B2F93" w:rsidRDefault="001B2F93" w:rsidP="00840A6A">
            <w:pPr>
              <w:ind w:left="720"/>
              <w:contextualSpacing/>
              <w:jc w:val="both"/>
              <w:rPr>
                <w:rFonts w:eastAsia="Calibri"/>
                <w:sz w:val="20"/>
                <w:szCs w:val="20"/>
              </w:rPr>
            </w:pPr>
          </w:p>
          <w:p w14:paraId="5060BAA8" w14:textId="77777777" w:rsidR="001B2F93" w:rsidRPr="001B2F93" w:rsidRDefault="001B2F93" w:rsidP="00840A6A">
            <w:pPr>
              <w:ind w:left="720"/>
              <w:contextualSpacing/>
              <w:jc w:val="both"/>
              <w:rPr>
                <w:rFonts w:eastAsia="Calibri"/>
                <w:sz w:val="20"/>
                <w:szCs w:val="20"/>
              </w:rPr>
            </w:pPr>
          </w:p>
          <w:p w14:paraId="29E5A11D" w14:textId="77777777" w:rsidR="001B2F93" w:rsidRPr="001B2F93" w:rsidRDefault="001B2F93" w:rsidP="00840A6A">
            <w:pPr>
              <w:ind w:left="720"/>
              <w:contextualSpacing/>
              <w:jc w:val="both"/>
              <w:rPr>
                <w:rFonts w:eastAsia="Calibri"/>
                <w:sz w:val="20"/>
                <w:szCs w:val="20"/>
              </w:rPr>
            </w:pPr>
          </w:p>
          <w:p w14:paraId="6962A675" w14:textId="77777777" w:rsidR="001B2F93" w:rsidRPr="001B2F93" w:rsidRDefault="001B2F93" w:rsidP="00840A6A">
            <w:pPr>
              <w:ind w:left="720"/>
              <w:contextualSpacing/>
              <w:jc w:val="both"/>
              <w:rPr>
                <w:rFonts w:eastAsia="Calibri"/>
                <w:sz w:val="20"/>
                <w:szCs w:val="20"/>
              </w:rPr>
            </w:pPr>
          </w:p>
          <w:p w14:paraId="0898B6F1" w14:textId="77777777" w:rsidR="001B2F93" w:rsidRPr="001B2F93" w:rsidRDefault="001B2F93" w:rsidP="00840A6A">
            <w:pPr>
              <w:ind w:left="720"/>
              <w:contextualSpacing/>
              <w:jc w:val="both"/>
              <w:rPr>
                <w:rFonts w:eastAsia="Calibri"/>
                <w:sz w:val="20"/>
                <w:szCs w:val="20"/>
              </w:rPr>
            </w:pPr>
          </w:p>
          <w:p w14:paraId="65AEE642" w14:textId="77777777" w:rsidR="001B2F93" w:rsidRPr="001B2F93" w:rsidRDefault="001B2F93" w:rsidP="00840A6A">
            <w:pPr>
              <w:ind w:left="720"/>
              <w:contextualSpacing/>
              <w:jc w:val="both"/>
              <w:rPr>
                <w:rFonts w:eastAsia="Calibri"/>
                <w:sz w:val="20"/>
                <w:szCs w:val="20"/>
              </w:rPr>
            </w:pPr>
          </w:p>
          <w:p w14:paraId="01C4605A" w14:textId="77777777" w:rsidR="001B2F93" w:rsidRPr="001B2F93" w:rsidRDefault="001B2F93" w:rsidP="00840A6A">
            <w:pPr>
              <w:ind w:left="720"/>
              <w:contextualSpacing/>
              <w:jc w:val="both"/>
              <w:rPr>
                <w:rFonts w:eastAsia="Calibri"/>
                <w:sz w:val="20"/>
                <w:szCs w:val="20"/>
              </w:rPr>
            </w:pPr>
          </w:p>
          <w:p w14:paraId="65B0FF29" w14:textId="77777777" w:rsidR="001B2F93" w:rsidRPr="001B2F93" w:rsidRDefault="001B2F93" w:rsidP="00840A6A">
            <w:pPr>
              <w:ind w:left="720"/>
              <w:contextualSpacing/>
              <w:jc w:val="both"/>
              <w:rPr>
                <w:rFonts w:eastAsia="Calibri"/>
                <w:sz w:val="20"/>
                <w:szCs w:val="20"/>
              </w:rPr>
            </w:pPr>
          </w:p>
          <w:p w14:paraId="5239B704" w14:textId="77777777" w:rsidR="001B2F93" w:rsidRPr="001B2F93" w:rsidRDefault="001B2F93" w:rsidP="00840A6A">
            <w:pPr>
              <w:ind w:left="720"/>
              <w:contextualSpacing/>
              <w:jc w:val="both"/>
              <w:rPr>
                <w:rFonts w:eastAsia="Calibri"/>
                <w:sz w:val="20"/>
                <w:szCs w:val="20"/>
              </w:rPr>
            </w:pPr>
          </w:p>
          <w:p w14:paraId="0B2EED3F" w14:textId="77777777" w:rsidR="001B2F93" w:rsidRPr="001B2F93" w:rsidRDefault="001B2F93" w:rsidP="00840A6A">
            <w:pPr>
              <w:ind w:left="720"/>
              <w:contextualSpacing/>
              <w:jc w:val="both"/>
              <w:rPr>
                <w:rFonts w:eastAsia="Calibri"/>
                <w:sz w:val="20"/>
                <w:szCs w:val="20"/>
              </w:rPr>
            </w:pPr>
          </w:p>
          <w:p w14:paraId="225046BB" w14:textId="77777777" w:rsidR="001B2F93" w:rsidRPr="001B2F93" w:rsidRDefault="001B2F93" w:rsidP="00840A6A">
            <w:pPr>
              <w:ind w:left="720"/>
              <w:contextualSpacing/>
              <w:jc w:val="both"/>
              <w:rPr>
                <w:rFonts w:eastAsia="Calibri"/>
                <w:sz w:val="20"/>
                <w:szCs w:val="20"/>
              </w:rPr>
            </w:pPr>
          </w:p>
          <w:p w14:paraId="7CB63A4A" w14:textId="77777777" w:rsidR="001B2F93" w:rsidRPr="001B2F93" w:rsidRDefault="001B2F93" w:rsidP="00840A6A">
            <w:pPr>
              <w:ind w:left="720"/>
              <w:contextualSpacing/>
              <w:jc w:val="both"/>
              <w:rPr>
                <w:rFonts w:eastAsia="Calibri"/>
                <w:sz w:val="20"/>
                <w:szCs w:val="20"/>
              </w:rPr>
            </w:pPr>
          </w:p>
          <w:p w14:paraId="75E71839" w14:textId="77777777" w:rsidR="001B2F93" w:rsidRPr="001B2F93" w:rsidRDefault="001B2F93" w:rsidP="00840A6A">
            <w:pPr>
              <w:ind w:left="720"/>
              <w:contextualSpacing/>
              <w:jc w:val="both"/>
              <w:rPr>
                <w:rFonts w:eastAsia="Calibri"/>
                <w:sz w:val="20"/>
                <w:szCs w:val="20"/>
              </w:rPr>
            </w:pPr>
          </w:p>
          <w:p w14:paraId="3D993FEA" w14:textId="77777777" w:rsidR="001B2F93" w:rsidRPr="001B2F93" w:rsidRDefault="001B2F93" w:rsidP="00840A6A">
            <w:pPr>
              <w:ind w:left="720"/>
              <w:contextualSpacing/>
              <w:jc w:val="both"/>
              <w:rPr>
                <w:rFonts w:eastAsia="Calibri"/>
                <w:sz w:val="20"/>
                <w:szCs w:val="20"/>
              </w:rPr>
            </w:pPr>
          </w:p>
          <w:p w14:paraId="3B35BB91" w14:textId="77777777" w:rsidR="001B2F93" w:rsidRPr="001B2F93" w:rsidRDefault="001B2F93" w:rsidP="00840A6A">
            <w:pPr>
              <w:ind w:left="720"/>
              <w:contextualSpacing/>
              <w:jc w:val="both"/>
              <w:rPr>
                <w:rFonts w:eastAsia="Calibri"/>
                <w:sz w:val="20"/>
                <w:szCs w:val="20"/>
              </w:rPr>
            </w:pPr>
          </w:p>
          <w:p w14:paraId="17696F10" w14:textId="77777777" w:rsidR="001B2F93" w:rsidRPr="001B2F93" w:rsidRDefault="001B2F93" w:rsidP="00840A6A">
            <w:pPr>
              <w:ind w:left="720"/>
              <w:contextualSpacing/>
              <w:jc w:val="both"/>
              <w:rPr>
                <w:rFonts w:eastAsia="Calibri"/>
                <w:sz w:val="20"/>
                <w:szCs w:val="20"/>
              </w:rPr>
            </w:pPr>
          </w:p>
          <w:p w14:paraId="42D673EE" w14:textId="77777777" w:rsidR="001B2F93" w:rsidRPr="001B2F93" w:rsidRDefault="001B2F93" w:rsidP="00840A6A">
            <w:pPr>
              <w:ind w:left="720"/>
              <w:contextualSpacing/>
              <w:jc w:val="both"/>
              <w:rPr>
                <w:rFonts w:eastAsia="Calibri"/>
                <w:sz w:val="20"/>
                <w:szCs w:val="20"/>
              </w:rPr>
            </w:pPr>
          </w:p>
          <w:p w14:paraId="382A575D" w14:textId="77777777" w:rsidR="001B2F93" w:rsidRPr="001B2F93" w:rsidRDefault="001B2F93" w:rsidP="00840A6A">
            <w:pPr>
              <w:ind w:left="720"/>
              <w:contextualSpacing/>
              <w:jc w:val="both"/>
              <w:rPr>
                <w:rFonts w:eastAsia="Calibri"/>
                <w:sz w:val="20"/>
                <w:szCs w:val="20"/>
              </w:rPr>
            </w:pPr>
          </w:p>
          <w:p w14:paraId="4B6665D3" w14:textId="77777777" w:rsidR="001B2F93" w:rsidRPr="001B2F93" w:rsidRDefault="001B2F93" w:rsidP="00840A6A">
            <w:pPr>
              <w:ind w:left="720"/>
              <w:contextualSpacing/>
              <w:jc w:val="both"/>
              <w:rPr>
                <w:rFonts w:eastAsia="Calibri"/>
                <w:sz w:val="20"/>
                <w:szCs w:val="20"/>
              </w:rPr>
            </w:pPr>
          </w:p>
          <w:p w14:paraId="325D1DBB" w14:textId="77777777" w:rsidR="001B2F93" w:rsidRPr="001B2F93" w:rsidRDefault="001B2F93" w:rsidP="00840A6A">
            <w:pPr>
              <w:ind w:left="720"/>
              <w:contextualSpacing/>
              <w:jc w:val="both"/>
              <w:rPr>
                <w:rFonts w:eastAsia="Calibri"/>
                <w:sz w:val="20"/>
                <w:szCs w:val="20"/>
              </w:rPr>
            </w:pPr>
          </w:p>
          <w:p w14:paraId="394A4CC0" w14:textId="77777777" w:rsidR="001B2F93" w:rsidRPr="001B2F93" w:rsidRDefault="001B2F93" w:rsidP="00840A6A">
            <w:pPr>
              <w:ind w:left="720"/>
              <w:contextualSpacing/>
              <w:jc w:val="both"/>
              <w:rPr>
                <w:rFonts w:eastAsia="Calibri"/>
                <w:sz w:val="20"/>
                <w:szCs w:val="20"/>
              </w:rPr>
            </w:pPr>
          </w:p>
          <w:p w14:paraId="726F35F7" w14:textId="77777777" w:rsidR="001B2F93" w:rsidRPr="001B2F93" w:rsidRDefault="001B2F93" w:rsidP="00840A6A">
            <w:pPr>
              <w:ind w:left="720"/>
              <w:contextualSpacing/>
              <w:jc w:val="both"/>
              <w:rPr>
                <w:rFonts w:eastAsia="Calibri"/>
                <w:sz w:val="20"/>
                <w:szCs w:val="20"/>
              </w:rPr>
            </w:pPr>
          </w:p>
          <w:p w14:paraId="2F764B3A" w14:textId="77777777" w:rsidR="001B2F93" w:rsidRPr="001B2F93" w:rsidRDefault="001B2F93" w:rsidP="00840A6A">
            <w:pPr>
              <w:ind w:left="720"/>
              <w:contextualSpacing/>
              <w:jc w:val="both"/>
              <w:rPr>
                <w:rFonts w:eastAsia="Calibri"/>
                <w:sz w:val="20"/>
                <w:szCs w:val="20"/>
              </w:rPr>
            </w:pPr>
          </w:p>
          <w:p w14:paraId="09A8F2F9" w14:textId="77777777" w:rsidR="004C6EFF" w:rsidRDefault="004C6EFF" w:rsidP="00840A6A">
            <w:pPr>
              <w:contextualSpacing/>
              <w:jc w:val="both"/>
              <w:rPr>
                <w:rFonts w:eastAsia="Calibri"/>
                <w:color w:val="FF0000"/>
                <w:sz w:val="20"/>
                <w:szCs w:val="20"/>
              </w:rPr>
            </w:pPr>
          </w:p>
          <w:p w14:paraId="472C1AD9" w14:textId="77777777" w:rsidR="004C6EFF" w:rsidRDefault="004C6EFF" w:rsidP="00840A6A">
            <w:pPr>
              <w:contextualSpacing/>
              <w:jc w:val="both"/>
              <w:rPr>
                <w:rFonts w:eastAsia="Calibri"/>
                <w:color w:val="FF0000"/>
                <w:sz w:val="20"/>
                <w:szCs w:val="20"/>
              </w:rPr>
            </w:pPr>
          </w:p>
          <w:p w14:paraId="10002A49" w14:textId="77777777" w:rsidR="004C6EFF" w:rsidRDefault="004C6EFF" w:rsidP="00840A6A">
            <w:pPr>
              <w:contextualSpacing/>
              <w:jc w:val="both"/>
              <w:rPr>
                <w:rFonts w:eastAsia="Calibri"/>
                <w:color w:val="FF0000"/>
                <w:sz w:val="20"/>
                <w:szCs w:val="20"/>
              </w:rPr>
            </w:pPr>
          </w:p>
          <w:p w14:paraId="7B1E24CC" w14:textId="77777777" w:rsidR="004C6EFF" w:rsidRDefault="004C6EFF" w:rsidP="00840A6A">
            <w:pPr>
              <w:contextualSpacing/>
              <w:jc w:val="both"/>
              <w:rPr>
                <w:rFonts w:eastAsia="Calibri"/>
                <w:color w:val="FF0000"/>
                <w:sz w:val="20"/>
                <w:szCs w:val="20"/>
              </w:rPr>
            </w:pPr>
          </w:p>
          <w:p w14:paraId="39F68FE1" w14:textId="77777777" w:rsidR="004C6EFF" w:rsidRDefault="004C6EFF" w:rsidP="00840A6A">
            <w:pPr>
              <w:contextualSpacing/>
              <w:jc w:val="both"/>
              <w:rPr>
                <w:rFonts w:eastAsia="Calibri"/>
                <w:color w:val="FF0000"/>
                <w:sz w:val="20"/>
                <w:szCs w:val="20"/>
              </w:rPr>
            </w:pPr>
          </w:p>
          <w:p w14:paraId="1C72B955" w14:textId="77777777" w:rsidR="004C6EFF" w:rsidRDefault="004C6EFF" w:rsidP="00840A6A">
            <w:pPr>
              <w:contextualSpacing/>
              <w:jc w:val="both"/>
              <w:rPr>
                <w:rFonts w:eastAsia="Calibri"/>
                <w:color w:val="FF0000"/>
                <w:sz w:val="20"/>
                <w:szCs w:val="20"/>
              </w:rPr>
            </w:pPr>
          </w:p>
          <w:p w14:paraId="4C49A714" w14:textId="77777777" w:rsidR="004C6EFF" w:rsidRDefault="004C6EFF" w:rsidP="00840A6A">
            <w:pPr>
              <w:contextualSpacing/>
              <w:jc w:val="both"/>
              <w:rPr>
                <w:rFonts w:eastAsia="Calibri"/>
                <w:color w:val="FF0000"/>
                <w:sz w:val="20"/>
                <w:szCs w:val="20"/>
              </w:rPr>
            </w:pPr>
          </w:p>
          <w:p w14:paraId="2C35AE4E" w14:textId="77777777" w:rsidR="004C6EFF" w:rsidRDefault="004C6EFF" w:rsidP="00840A6A">
            <w:pPr>
              <w:contextualSpacing/>
              <w:jc w:val="both"/>
              <w:rPr>
                <w:rFonts w:eastAsia="Calibri"/>
                <w:color w:val="FF0000"/>
                <w:sz w:val="20"/>
                <w:szCs w:val="20"/>
              </w:rPr>
            </w:pPr>
          </w:p>
          <w:p w14:paraId="3FC21F48" w14:textId="77777777" w:rsidR="004C6EFF" w:rsidRDefault="004C6EFF" w:rsidP="00840A6A">
            <w:pPr>
              <w:contextualSpacing/>
              <w:jc w:val="both"/>
              <w:rPr>
                <w:rFonts w:eastAsia="Calibri"/>
                <w:color w:val="FF0000"/>
                <w:sz w:val="20"/>
                <w:szCs w:val="20"/>
              </w:rPr>
            </w:pPr>
          </w:p>
          <w:p w14:paraId="745A2C8D" w14:textId="77777777" w:rsidR="004C6EFF" w:rsidRDefault="004C6EFF" w:rsidP="00840A6A">
            <w:pPr>
              <w:contextualSpacing/>
              <w:jc w:val="both"/>
              <w:rPr>
                <w:rFonts w:eastAsia="Calibri"/>
                <w:color w:val="FF0000"/>
                <w:sz w:val="20"/>
                <w:szCs w:val="20"/>
              </w:rPr>
            </w:pPr>
          </w:p>
          <w:p w14:paraId="459E13C8" w14:textId="77777777" w:rsidR="004C6EFF" w:rsidRDefault="004C6EFF" w:rsidP="00840A6A">
            <w:pPr>
              <w:contextualSpacing/>
              <w:jc w:val="both"/>
              <w:rPr>
                <w:rFonts w:eastAsia="Calibri"/>
                <w:color w:val="FF0000"/>
                <w:sz w:val="20"/>
                <w:szCs w:val="20"/>
              </w:rPr>
            </w:pPr>
          </w:p>
          <w:p w14:paraId="5CB6890F" w14:textId="77777777" w:rsidR="004C6EFF" w:rsidRDefault="004C6EFF" w:rsidP="00840A6A">
            <w:pPr>
              <w:contextualSpacing/>
              <w:jc w:val="both"/>
              <w:rPr>
                <w:rFonts w:eastAsia="Calibri"/>
                <w:color w:val="FF0000"/>
                <w:sz w:val="20"/>
                <w:szCs w:val="20"/>
              </w:rPr>
            </w:pPr>
          </w:p>
          <w:p w14:paraId="775279EA" w14:textId="77777777" w:rsidR="004C6EFF" w:rsidRDefault="004C6EFF" w:rsidP="00840A6A">
            <w:pPr>
              <w:contextualSpacing/>
              <w:jc w:val="both"/>
              <w:rPr>
                <w:rFonts w:eastAsia="Calibri"/>
                <w:color w:val="FF0000"/>
                <w:sz w:val="20"/>
                <w:szCs w:val="20"/>
              </w:rPr>
            </w:pPr>
          </w:p>
          <w:p w14:paraId="79B0E591" w14:textId="77777777" w:rsidR="004C6EFF" w:rsidRDefault="004C6EFF" w:rsidP="00840A6A">
            <w:pPr>
              <w:contextualSpacing/>
              <w:jc w:val="both"/>
              <w:rPr>
                <w:rFonts w:eastAsia="Calibri"/>
                <w:color w:val="FF0000"/>
                <w:sz w:val="20"/>
                <w:szCs w:val="20"/>
              </w:rPr>
            </w:pPr>
          </w:p>
          <w:p w14:paraId="1FEC7696" w14:textId="77777777" w:rsidR="004C6EFF" w:rsidRDefault="004C6EFF" w:rsidP="00840A6A">
            <w:pPr>
              <w:contextualSpacing/>
              <w:jc w:val="both"/>
              <w:rPr>
                <w:rFonts w:eastAsia="Calibri"/>
                <w:color w:val="FF0000"/>
                <w:sz w:val="20"/>
                <w:szCs w:val="20"/>
              </w:rPr>
            </w:pPr>
          </w:p>
          <w:p w14:paraId="5FD7FEF5" w14:textId="77777777" w:rsidR="004C6EFF" w:rsidRDefault="004C6EFF" w:rsidP="00840A6A">
            <w:pPr>
              <w:contextualSpacing/>
              <w:jc w:val="both"/>
              <w:rPr>
                <w:rFonts w:eastAsia="Calibri"/>
                <w:color w:val="FF0000"/>
                <w:sz w:val="20"/>
                <w:szCs w:val="20"/>
              </w:rPr>
            </w:pPr>
          </w:p>
          <w:p w14:paraId="15CC930B" w14:textId="77777777" w:rsidR="004C6EFF" w:rsidRDefault="004C6EFF" w:rsidP="00840A6A">
            <w:pPr>
              <w:contextualSpacing/>
              <w:jc w:val="both"/>
              <w:rPr>
                <w:rFonts w:eastAsia="Calibri"/>
                <w:color w:val="FF0000"/>
                <w:sz w:val="20"/>
                <w:szCs w:val="20"/>
              </w:rPr>
            </w:pPr>
          </w:p>
          <w:p w14:paraId="631C3A5A" w14:textId="77777777" w:rsidR="004C6EFF" w:rsidRDefault="004C6EFF" w:rsidP="00840A6A">
            <w:pPr>
              <w:contextualSpacing/>
              <w:jc w:val="both"/>
              <w:rPr>
                <w:rFonts w:eastAsia="Calibri"/>
                <w:color w:val="FF0000"/>
                <w:sz w:val="20"/>
                <w:szCs w:val="20"/>
              </w:rPr>
            </w:pPr>
          </w:p>
          <w:p w14:paraId="4DBF3B6B" w14:textId="77777777" w:rsidR="004C6EFF" w:rsidRDefault="004C6EFF" w:rsidP="00840A6A">
            <w:pPr>
              <w:contextualSpacing/>
              <w:jc w:val="both"/>
              <w:rPr>
                <w:rFonts w:eastAsia="Calibri"/>
                <w:color w:val="FF0000"/>
                <w:sz w:val="20"/>
                <w:szCs w:val="20"/>
              </w:rPr>
            </w:pPr>
          </w:p>
          <w:p w14:paraId="7F3C69E3" w14:textId="77777777" w:rsidR="004C6EFF" w:rsidRDefault="004C6EFF" w:rsidP="00840A6A">
            <w:pPr>
              <w:contextualSpacing/>
              <w:jc w:val="both"/>
              <w:rPr>
                <w:rFonts w:eastAsia="Calibri"/>
                <w:color w:val="FF0000"/>
                <w:sz w:val="20"/>
                <w:szCs w:val="20"/>
              </w:rPr>
            </w:pPr>
          </w:p>
          <w:p w14:paraId="4ABB2E68" w14:textId="77777777" w:rsidR="004C6EFF" w:rsidRDefault="004C6EFF" w:rsidP="00840A6A">
            <w:pPr>
              <w:contextualSpacing/>
              <w:jc w:val="both"/>
              <w:rPr>
                <w:rFonts w:eastAsia="Calibri"/>
                <w:color w:val="FF0000"/>
                <w:sz w:val="20"/>
                <w:szCs w:val="20"/>
              </w:rPr>
            </w:pPr>
          </w:p>
          <w:p w14:paraId="31A50731" w14:textId="4BB71C08" w:rsidR="001B2F93" w:rsidRPr="00181C89" w:rsidRDefault="001B2F93" w:rsidP="00840A6A">
            <w:pPr>
              <w:contextualSpacing/>
              <w:jc w:val="both"/>
              <w:rPr>
                <w:rFonts w:eastAsia="Calibri"/>
                <w:sz w:val="20"/>
                <w:szCs w:val="20"/>
              </w:rPr>
            </w:pPr>
            <w:r w:rsidRPr="00181C89">
              <w:rPr>
                <w:rFonts w:eastAsia="Calibri"/>
                <w:sz w:val="20"/>
                <w:szCs w:val="20"/>
              </w:rPr>
              <w:t xml:space="preserve">Following the submission of the Beneficial Ownership Roadmap submitted under the BO Consultancy in 2024, the Secretariat  </w:t>
            </w:r>
          </w:p>
          <w:p w14:paraId="2311BA05" w14:textId="58617217" w:rsidR="001B2F93" w:rsidRDefault="001B2F93" w:rsidP="00840A6A">
            <w:pPr>
              <w:jc w:val="both"/>
              <w:rPr>
                <w:rFonts w:eastAsia="Yu Gothic UI"/>
                <w:sz w:val="20"/>
                <w:szCs w:val="20"/>
              </w:rPr>
            </w:pPr>
            <w:r w:rsidRPr="00181C89">
              <w:rPr>
                <w:sz w:val="20"/>
                <w:szCs w:val="20"/>
              </w:rPr>
              <w:t>commenced work relating to the development of a comprehensive BO database on beneficial owners in the extractive industries.</w:t>
            </w:r>
            <w:r w:rsidRPr="00181C89">
              <w:rPr>
                <w:rFonts w:eastAsia="Yu Gothic UI"/>
                <w:sz w:val="20"/>
                <w:szCs w:val="20"/>
              </w:rPr>
              <w:t xml:space="preserve"> </w:t>
            </w:r>
          </w:p>
          <w:p w14:paraId="3ED1EF63" w14:textId="77777777" w:rsidR="00181C89" w:rsidRPr="00181C89" w:rsidRDefault="00181C89" w:rsidP="00840A6A">
            <w:pPr>
              <w:jc w:val="both"/>
              <w:rPr>
                <w:rFonts w:eastAsia="Yu Gothic UI"/>
                <w:sz w:val="20"/>
                <w:szCs w:val="20"/>
              </w:rPr>
            </w:pPr>
          </w:p>
          <w:p w14:paraId="7A1A15C6" w14:textId="02BC366C" w:rsidR="001B2F93" w:rsidRDefault="001B2F93" w:rsidP="00840A6A">
            <w:pPr>
              <w:jc w:val="both"/>
              <w:rPr>
                <w:rFonts w:eastAsia="Yu Gothic UI"/>
                <w:sz w:val="20"/>
                <w:szCs w:val="20"/>
              </w:rPr>
            </w:pPr>
            <w:r w:rsidRPr="001B2F93">
              <w:rPr>
                <w:rFonts w:eastAsia="Yu Gothic UI"/>
                <w:sz w:val="20"/>
                <w:szCs w:val="20"/>
              </w:rPr>
              <w:t xml:space="preserve">The Secretariat has consulted with the with Deeds &amp; Commercial Registry on the implementation of a BO </w:t>
            </w:r>
            <w:r w:rsidR="00181C89" w:rsidRPr="001B2F93">
              <w:rPr>
                <w:rFonts w:eastAsia="Yu Gothic UI"/>
                <w:sz w:val="20"/>
                <w:szCs w:val="20"/>
              </w:rPr>
              <w:t>register and</w:t>
            </w:r>
            <w:r w:rsidRPr="001B2F93">
              <w:rPr>
                <w:rFonts w:eastAsia="Yu Gothic UI"/>
                <w:sz w:val="20"/>
                <w:szCs w:val="20"/>
              </w:rPr>
              <w:t xml:space="preserve"> the FIU</w:t>
            </w:r>
            <w:r w:rsidR="00181C89">
              <w:rPr>
                <w:rFonts w:eastAsia="Yu Gothic UI"/>
                <w:sz w:val="20"/>
                <w:szCs w:val="20"/>
              </w:rPr>
              <w:t>.</w:t>
            </w:r>
            <w:r w:rsidRPr="001B2F93">
              <w:rPr>
                <w:rFonts w:eastAsia="Yu Gothic UI"/>
                <w:sz w:val="20"/>
                <w:szCs w:val="20"/>
              </w:rPr>
              <w:t xml:space="preserve"> It was established that the system engaged by the Deeds Registry cannot accommodate the demands of the EITI requirement 2.5. as such, the Secretariat was requested to have its own data collection.</w:t>
            </w:r>
          </w:p>
          <w:p w14:paraId="74ACE8A5" w14:textId="77777777" w:rsidR="00E90816" w:rsidRPr="001B2F93" w:rsidRDefault="00E90816" w:rsidP="00840A6A">
            <w:pPr>
              <w:jc w:val="both"/>
              <w:rPr>
                <w:rFonts w:eastAsia="Yu Gothic UI"/>
                <w:sz w:val="20"/>
                <w:szCs w:val="20"/>
              </w:rPr>
            </w:pPr>
          </w:p>
          <w:p w14:paraId="6AC68A1F" w14:textId="77777777" w:rsidR="00E90816" w:rsidRDefault="001B2F93" w:rsidP="00840A6A">
            <w:pPr>
              <w:jc w:val="both"/>
              <w:rPr>
                <w:rFonts w:eastAsia="Yu Gothic UI"/>
                <w:sz w:val="20"/>
                <w:szCs w:val="20"/>
              </w:rPr>
            </w:pPr>
            <w:r w:rsidRPr="001B2F93">
              <w:rPr>
                <w:rFonts w:eastAsia="Yu Gothic UI"/>
                <w:sz w:val="20"/>
                <w:szCs w:val="20"/>
              </w:rPr>
              <w:t>The Register is being populated at the sectoral levels with 2 sectors - Oil and gas and Mining entities. The Secretariat commenced the process of verification of BO data from companies for inclusion in the Register</w:t>
            </w:r>
          </w:p>
          <w:p w14:paraId="55C24377" w14:textId="2865F722" w:rsidR="001B2F93" w:rsidRPr="001B2F93" w:rsidRDefault="001B2F93" w:rsidP="00840A6A">
            <w:pPr>
              <w:jc w:val="both"/>
              <w:rPr>
                <w:rFonts w:eastAsia="Yu Gothic UI"/>
                <w:sz w:val="20"/>
                <w:szCs w:val="20"/>
              </w:rPr>
            </w:pPr>
            <w:r w:rsidRPr="001B2F93">
              <w:rPr>
                <w:rFonts w:eastAsia="Yu Gothic UI"/>
                <w:sz w:val="20"/>
                <w:szCs w:val="20"/>
              </w:rPr>
              <w:t xml:space="preserve">. </w:t>
            </w:r>
          </w:p>
          <w:p w14:paraId="18A313DC" w14:textId="77777777" w:rsidR="001B2F93" w:rsidRDefault="001B2F93" w:rsidP="00840A6A">
            <w:pPr>
              <w:jc w:val="both"/>
              <w:rPr>
                <w:rFonts w:eastAsia="Yu Gothic UI"/>
                <w:sz w:val="20"/>
                <w:szCs w:val="20"/>
              </w:rPr>
            </w:pPr>
            <w:r w:rsidRPr="001B2F93">
              <w:rPr>
                <w:rFonts w:eastAsia="Yu Gothic UI"/>
                <w:sz w:val="20"/>
                <w:szCs w:val="20"/>
              </w:rPr>
              <w:t xml:space="preserve">This activity was shelved due to staff constraints and dedicated time towards preparation of EITI Annual report and Validation templates. </w:t>
            </w:r>
          </w:p>
          <w:p w14:paraId="6D8520AA" w14:textId="77777777" w:rsidR="00E90816" w:rsidRPr="001B2F93" w:rsidRDefault="00E90816" w:rsidP="00840A6A">
            <w:pPr>
              <w:jc w:val="both"/>
              <w:rPr>
                <w:rFonts w:eastAsia="Yu Gothic UI"/>
                <w:sz w:val="20"/>
                <w:szCs w:val="20"/>
              </w:rPr>
            </w:pPr>
          </w:p>
          <w:p w14:paraId="29C150ED" w14:textId="7360E0EB" w:rsidR="00A751B1" w:rsidRPr="00A751B1" w:rsidRDefault="00DF5C24" w:rsidP="00A751B1">
            <w:pPr>
              <w:contextualSpacing/>
              <w:jc w:val="both"/>
              <w:rPr>
                <w:rFonts w:eastAsia="Calibri"/>
                <w:sz w:val="20"/>
                <w:szCs w:val="20"/>
              </w:rPr>
            </w:pPr>
            <w:r w:rsidRPr="00A751B1">
              <w:rPr>
                <w:rFonts w:eastAsia="Calibri"/>
                <w:sz w:val="20"/>
                <w:szCs w:val="20"/>
              </w:rPr>
              <w:t>The Beneficial Ownership (BO) Register is publicly accessible via the</w:t>
            </w:r>
            <w:r w:rsidRPr="00F366C4">
              <w:rPr>
                <w:rFonts w:eastAsia="Calibri"/>
                <w:sz w:val="20"/>
                <w:szCs w:val="20"/>
              </w:rPr>
              <w:t xml:space="preserve"> </w:t>
            </w:r>
            <w:hyperlink r:id="rId35" w:history="1">
              <w:r w:rsidR="00000F4B" w:rsidRPr="00F366C4">
                <w:rPr>
                  <w:rStyle w:val="Hyperlink"/>
                  <w:rFonts w:eastAsia="Yu Gothic UI"/>
                  <w:b/>
                  <w:bCs/>
                  <w:color w:val="auto"/>
                  <w:sz w:val="20"/>
                  <w:szCs w:val="20"/>
                </w:rPr>
                <w:t>GYEITI BO PUBLIC REGISTER</w:t>
              </w:r>
            </w:hyperlink>
            <w:r w:rsidR="00B43087" w:rsidRPr="00F366C4">
              <w:rPr>
                <w:b/>
                <w:bCs/>
              </w:rPr>
              <w:t>.</w:t>
            </w:r>
            <w:bookmarkStart w:id="35" w:name="_Hlk219638793"/>
            <w:r w:rsidR="001F202D" w:rsidRPr="00F366C4">
              <w:rPr>
                <w:rFonts w:eastAsia="Calibri"/>
                <w:sz w:val="20"/>
                <w:szCs w:val="20"/>
              </w:rPr>
              <w:t xml:space="preserve"> </w:t>
            </w:r>
            <w:r w:rsidR="00A751B1" w:rsidRPr="00A751B1">
              <w:rPr>
                <w:rFonts w:eastAsia="Calibri"/>
                <w:sz w:val="20"/>
                <w:szCs w:val="20"/>
              </w:rPr>
              <w:t>The Independent Consultants’</w:t>
            </w:r>
            <w:r w:rsidR="00A751B1" w:rsidRPr="00A751B1">
              <w:rPr>
                <w:rFonts w:eastAsia="Calibri"/>
                <w:b/>
                <w:bCs/>
                <w:sz w:val="20"/>
                <w:szCs w:val="20"/>
              </w:rPr>
              <w:t xml:space="preserve"> </w:t>
            </w:r>
            <w:hyperlink r:id="rId36" w:history="1">
              <w:r w:rsidR="001F202D" w:rsidRPr="00F366C4">
                <w:rPr>
                  <w:rStyle w:val="Hyperlink"/>
                  <w:rFonts w:eastAsia="Calibri"/>
                  <w:b/>
                  <w:bCs/>
                  <w:color w:val="auto"/>
                  <w:sz w:val="20"/>
                  <w:szCs w:val="20"/>
                </w:rPr>
                <w:t>R</w:t>
              </w:r>
              <w:r w:rsidR="00A751B1" w:rsidRPr="00A751B1">
                <w:rPr>
                  <w:rStyle w:val="Hyperlink"/>
                  <w:rFonts w:eastAsia="Calibri"/>
                  <w:b/>
                  <w:bCs/>
                  <w:color w:val="auto"/>
                  <w:sz w:val="20"/>
                  <w:szCs w:val="20"/>
                </w:rPr>
                <w:t>eport</w:t>
              </w:r>
            </w:hyperlink>
            <w:r w:rsidR="00A751B1" w:rsidRPr="00A751B1">
              <w:rPr>
                <w:rFonts w:eastAsia="Calibri"/>
                <w:sz w:val="20"/>
                <w:szCs w:val="20"/>
              </w:rPr>
              <w:t xml:space="preserve"> highlighted nine (9) key observations and provided seventeen recommendations to enhance Beneficial Ownership transparency in the extractive sector.</w:t>
            </w:r>
          </w:p>
          <w:p w14:paraId="46B7F08C" w14:textId="77777777" w:rsidR="001B2F93" w:rsidRPr="001B2F93" w:rsidRDefault="001B2F93" w:rsidP="00B43087">
            <w:pPr>
              <w:contextualSpacing/>
              <w:jc w:val="both"/>
              <w:rPr>
                <w:rFonts w:eastAsia="Calibri"/>
                <w:color w:val="FF0000"/>
                <w:sz w:val="20"/>
                <w:szCs w:val="20"/>
              </w:rPr>
            </w:pPr>
          </w:p>
          <w:bookmarkEnd w:id="35"/>
          <w:p w14:paraId="1993F2F1" w14:textId="77777777" w:rsidR="001B2F93" w:rsidRPr="001B2F93" w:rsidRDefault="001B2F93" w:rsidP="00840A6A">
            <w:pPr>
              <w:ind w:left="720"/>
              <w:contextualSpacing/>
              <w:jc w:val="both"/>
              <w:rPr>
                <w:rFonts w:eastAsia="Calibri"/>
                <w:sz w:val="20"/>
                <w:szCs w:val="20"/>
              </w:rPr>
            </w:pPr>
          </w:p>
          <w:p w14:paraId="5BDBD759" w14:textId="77777777" w:rsidR="001B2F93" w:rsidRPr="001B2F93" w:rsidRDefault="001B2F93" w:rsidP="00840A6A">
            <w:pPr>
              <w:ind w:left="720"/>
              <w:contextualSpacing/>
              <w:jc w:val="both"/>
              <w:rPr>
                <w:rFonts w:eastAsia="Calibri"/>
                <w:sz w:val="20"/>
                <w:szCs w:val="20"/>
              </w:rPr>
            </w:pPr>
          </w:p>
          <w:p w14:paraId="1BE15C55" w14:textId="77777777" w:rsidR="001B2F93" w:rsidRPr="001B2F93" w:rsidRDefault="001B2F93" w:rsidP="00840A6A">
            <w:pPr>
              <w:ind w:left="720"/>
              <w:contextualSpacing/>
              <w:jc w:val="both"/>
              <w:rPr>
                <w:rFonts w:eastAsia="Calibri"/>
                <w:sz w:val="20"/>
                <w:szCs w:val="20"/>
              </w:rPr>
            </w:pPr>
          </w:p>
          <w:p w14:paraId="2F9FEB0B" w14:textId="77777777" w:rsidR="001B2F93" w:rsidRPr="001B2F93" w:rsidRDefault="001B2F93" w:rsidP="00840A6A">
            <w:pPr>
              <w:ind w:left="720"/>
              <w:contextualSpacing/>
              <w:jc w:val="both"/>
              <w:rPr>
                <w:rFonts w:eastAsia="Calibri"/>
                <w:sz w:val="20"/>
                <w:szCs w:val="20"/>
              </w:rPr>
            </w:pPr>
          </w:p>
          <w:p w14:paraId="2508C762" w14:textId="77777777" w:rsidR="001B2F93" w:rsidRPr="001B2F93" w:rsidRDefault="001B2F93" w:rsidP="00840A6A">
            <w:pPr>
              <w:ind w:left="720"/>
              <w:contextualSpacing/>
              <w:jc w:val="both"/>
              <w:rPr>
                <w:rFonts w:eastAsia="Calibri"/>
                <w:sz w:val="20"/>
                <w:szCs w:val="20"/>
              </w:rPr>
            </w:pPr>
          </w:p>
          <w:p w14:paraId="5CD5D1E4" w14:textId="77777777" w:rsidR="001B2F93" w:rsidRPr="001B2F93" w:rsidRDefault="001B2F93" w:rsidP="00840A6A">
            <w:pPr>
              <w:ind w:left="720"/>
              <w:contextualSpacing/>
              <w:jc w:val="both"/>
              <w:rPr>
                <w:rFonts w:eastAsia="Calibri"/>
                <w:sz w:val="20"/>
                <w:szCs w:val="20"/>
              </w:rPr>
            </w:pPr>
          </w:p>
          <w:p w14:paraId="11E2091F" w14:textId="77777777" w:rsidR="001B2F93" w:rsidRPr="001B2F93" w:rsidRDefault="001B2F93" w:rsidP="00840A6A">
            <w:pPr>
              <w:ind w:left="720"/>
              <w:contextualSpacing/>
              <w:jc w:val="both"/>
              <w:rPr>
                <w:rFonts w:eastAsia="Calibri"/>
                <w:sz w:val="20"/>
                <w:szCs w:val="20"/>
              </w:rPr>
            </w:pPr>
          </w:p>
          <w:p w14:paraId="2784B651" w14:textId="77777777" w:rsidR="001B2F93" w:rsidRPr="001B2F93" w:rsidRDefault="001B2F93" w:rsidP="00840A6A">
            <w:pPr>
              <w:ind w:left="720"/>
              <w:contextualSpacing/>
              <w:jc w:val="both"/>
              <w:rPr>
                <w:rFonts w:eastAsia="Calibri"/>
                <w:sz w:val="20"/>
                <w:szCs w:val="20"/>
              </w:rPr>
            </w:pPr>
          </w:p>
          <w:p w14:paraId="295302EA" w14:textId="77777777" w:rsidR="001B2F93" w:rsidRPr="001B2F93" w:rsidRDefault="001B2F93" w:rsidP="00840A6A">
            <w:pPr>
              <w:ind w:left="720"/>
              <w:contextualSpacing/>
              <w:jc w:val="both"/>
              <w:rPr>
                <w:rFonts w:eastAsia="Calibri"/>
                <w:sz w:val="20"/>
                <w:szCs w:val="20"/>
              </w:rPr>
            </w:pPr>
          </w:p>
          <w:p w14:paraId="70A39B67" w14:textId="77777777" w:rsidR="001B2F93" w:rsidRPr="001B2F93" w:rsidRDefault="001B2F93" w:rsidP="00840A6A">
            <w:pPr>
              <w:ind w:left="720"/>
              <w:contextualSpacing/>
              <w:jc w:val="both"/>
              <w:rPr>
                <w:rFonts w:eastAsia="Calibri"/>
                <w:sz w:val="20"/>
                <w:szCs w:val="20"/>
              </w:rPr>
            </w:pPr>
          </w:p>
          <w:p w14:paraId="4F8DBACC" w14:textId="77777777" w:rsidR="001B2F93" w:rsidRPr="001B2F93" w:rsidRDefault="001B2F93" w:rsidP="00840A6A">
            <w:pPr>
              <w:ind w:left="720"/>
              <w:contextualSpacing/>
              <w:jc w:val="both"/>
              <w:rPr>
                <w:rFonts w:eastAsia="Calibri"/>
                <w:sz w:val="20"/>
                <w:szCs w:val="20"/>
              </w:rPr>
            </w:pPr>
          </w:p>
          <w:p w14:paraId="0B441208" w14:textId="77777777" w:rsidR="001B2F93" w:rsidRPr="001B2F93" w:rsidRDefault="001B2F93" w:rsidP="00840A6A">
            <w:pPr>
              <w:ind w:left="720"/>
              <w:contextualSpacing/>
              <w:jc w:val="both"/>
              <w:rPr>
                <w:rFonts w:eastAsia="Calibri"/>
                <w:sz w:val="20"/>
                <w:szCs w:val="20"/>
              </w:rPr>
            </w:pPr>
          </w:p>
          <w:p w14:paraId="4D74824A" w14:textId="77777777" w:rsidR="001B2F93" w:rsidRPr="001B2F93" w:rsidRDefault="001B2F93" w:rsidP="00840A6A">
            <w:pPr>
              <w:ind w:left="720"/>
              <w:contextualSpacing/>
              <w:jc w:val="both"/>
              <w:rPr>
                <w:rFonts w:eastAsia="Calibri"/>
                <w:sz w:val="20"/>
                <w:szCs w:val="20"/>
              </w:rPr>
            </w:pPr>
          </w:p>
          <w:p w14:paraId="09B7325E" w14:textId="77777777" w:rsidR="001B2F93" w:rsidRPr="001B2F93" w:rsidRDefault="001B2F93" w:rsidP="00840A6A">
            <w:pPr>
              <w:ind w:left="720"/>
              <w:contextualSpacing/>
              <w:jc w:val="both"/>
              <w:rPr>
                <w:rFonts w:eastAsia="Calibri"/>
                <w:sz w:val="20"/>
                <w:szCs w:val="20"/>
              </w:rPr>
            </w:pPr>
          </w:p>
          <w:p w14:paraId="5413FFB0" w14:textId="77777777" w:rsidR="001B2F93" w:rsidRPr="001B2F93" w:rsidRDefault="001B2F93" w:rsidP="00840A6A">
            <w:pPr>
              <w:ind w:left="720"/>
              <w:contextualSpacing/>
              <w:jc w:val="both"/>
              <w:rPr>
                <w:rFonts w:eastAsia="Calibri"/>
                <w:sz w:val="20"/>
                <w:szCs w:val="20"/>
              </w:rPr>
            </w:pPr>
          </w:p>
          <w:p w14:paraId="1E44DDFA" w14:textId="77777777" w:rsidR="001B2F93" w:rsidRPr="001B2F93" w:rsidRDefault="001B2F93" w:rsidP="00840A6A">
            <w:pPr>
              <w:ind w:left="720"/>
              <w:contextualSpacing/>
              <w:jc w:val="both"/>
              <w:rPr>
                <w:rFonts w:eastAsia="Calibri"/>
                <w:sz w:val="20"/>
                <w:szCs w:val="20"/>
              </w:rPr>
            </w:pPr>
          </w:p>
          <w:p w14:paraId="53048DE5" w14:textId="2F50B0E4" w:rsidR="001B2F93" w:rsidRPr="001B2F93" w:rsidRDefault="001B2F93" w:rsidP="00840A6A">
            <w:pPr>
              <w:ind w:left="720"/>
              <w:contextualSpacing/>
              <w:jc w:val="both"/>
              <w:rPr>
                <w:rFonts w:eastAsia="Calibri"/>
                <w:sz w:val="20"/>
                <w:szCs w:val="20"/>
              </w:rPr>
            </w:pPr>
          </w:p>
        </w:tc>
      </w:tr>
      <w:tr w:rsidR="001B2F93" w:rsidRPr="001B2F93" w14:paraId="6ED04DB4" w14:textId="77777777" w:rsidTr="00A74514">
        <w:tc>
          <w:tcPr>
            <w:tcW w:w="4495" w:type="dxa"/>
          </w:tcPr>
          <w:p w14:paraId="3ACB06BB" w14:textId="77777777" w:rsidR="001B2F93" w:rsidRPr="001B2F93" w:rsidRDefault="001B2F93" w:rsidP="001414F5">
            <w:pPr>
              <w:contextualSpacing/>
              <w:jc w:val="both"/>
              <w:rPr>
                <w:rFonts w:eastAsia="Calibri"/>
                <w:sz w:val="20"/>
                <w:szCs w:val="20"/>
              </w:rPr>
            </w:pPr>
            <w:r w:rsidRPr="001B2F93">
              <w:rPr>
                <w:rFonts w:eastAsia="Calibri"/>
                <w:b/>
                <w:sz w:val="20"/>
                <w:szCs w:val="20"/>
              </w:rPr>
              <w:lastRenderedPageBreak/>
              <w:t>Requirement 3 Exploration and Production</w:t>
            </w:r>
          </w:p>
          <w:p w14:paraId="19CE1412" w14:textId="77777777" w:rsidR="001B2F93" w:rsidRPr="001B2F93" w:rsidRDefault="001B2F93" w:rsidP="001414F5">
            <w:pPr>
              <w:contextualSpacing/>
              <w:jc w:val="both"/>
              <w:rPr>
                <w:rFonts w:eastAsia="Calibri"/>
                <w:sz w:val="20"/>
                <w:szCs w:val="20"/>
              </w:rPr>
            </w:pPr>
            <w:r w:rsidRPr="001B2F93">
              <w:rPr>
                <w:rFonts w:eastAsia="Calibri"/>
                <w:sz w:val="20"/>
                <w:szCs w:val="20"/>
                <w:u w:val="single"/>
              </w:rPr>
              <w:t>Requirement (3.1)</w:t>
            </w:r>
            <w:r w:rsidRPr="001B2F93">
              <w:rPr>
                <w:rFonts w:eastAsia="Calibri"/>
                <w:sz w:val="20"/>
                <w:szCs w:val="20"/>
              </w:rPr>
              <w:t xml:space="preserve"> </w:t>
            </w:r>
          </w:p>
          <w:p w14:paraId="11E4ABBE" w14:textId="77777777" w:rsidR="001B2F93" w:rsidRPr="001B2F93" w:rsidRDefault="001B2F93" w:rsidP="001414F5">
            <w:pPr>
              <w:contextualSpacing/>
              <w:jc w:val="both"/>
              <w:rPr>
                <w:rFonts w:eastAsia="Calibri"/>
                <w:sz w:val="20"/>
                <w:szCs w:val="20"/>
              </w:rPr>
            </w:pPr>
            <w:r w:rsidRPr="001B2F93">
              <w:rPr>
                <w:rFonts w:eastAsia="Calibri"/>
                <w:sz w:val="20"/>
                <w:szCs w:val="20"/>
              </w:rPr>
              <w:t>Exploration. Implementing countries should disclose an overview of the extractive industries, including any significant exploration activities.</w:t>
            </w:r>
          </w:p>
          <w:p w14:paraId="0C9D4A27" w14:textId="77777777" w:rsidR="001B2F93" w:rsidRPr="001B2F93" w:rsidRDefault="001B2F93" w:rsidP="001414F5">
            <w:pPr>
              <w:contextualSpacing/>
              <w:jc w:val="both"/>
              <w:rPr>
                <w:rFonts w:eastAsia="Calibri"/>
                <w:sz w:val="20"/>
                <w:szCs w:val="20"/>
              </w:rPr>
            </w:pPr>
            <w:r w:rsidRPr="001B2F93">
              <w:rPr>
                <w:rFonts w:eastAsia="Calibri"/>
                <w:sz w:val="20"/>
                <w:szCs w:val="20"/>
              </w:rPr>
              <w:t>3.2 Production. Implementing countries must disclose production data for the fiscal year covered by the EITI Report, including total production volumes, the value of production by commodity, and, when relevant, state/region. This could include sources of the production data and information on how the production volumes and values disclosed in the EITI Report have been calculated.</w:t>
            </w:r>
          </w:p>
          <w:p w14:paraId="09328181" w14:textId="77777777" w:rsidR="001B2F93" w:rsidRPr="001B2F93" w:rsidRDefault="001B2F93" w:rsidP="001414F5">
            <w:pPr>
              <w:contextualSpacing/>
              <w:jc w:val="both"/>
              <w:rPr>
                <w:rFonts w:eastAsia="Calibri"/>
                <w:sz w:val="20"/>
                <w:szCs w:val="20"/>
              </w:rPr>
            </w:pPr>
            <w:r w:rsidRPr="001B2F93">
              <w:rPr>
                <w:rFonts w:eastAsia="Calibri"/>
                <w:sz w:val="20"/>
                <w:szCs w:val="20"/>
              </w:rPr>
              <w:t>3.3 Exports. Implementing countries must disclose export data for the fiscal year covered by the EITI Report, including total export volumes, the value of exports by commodity, and, when relevant, by state/region of origin. This could include sources of the export data and information on how the export volumes and values disclosed in the EITI Report have been calculated.</w:t>
            </w:r>
          </w:p>
        </w:tc>
        <w:tc>
          <w:tcPr>
            <w:tcW w:w="5400" w:type="dxa"/>
          </w:tcPr>
          <w:p w14:paraId="719EE257" w14:textId="77777777" w:rsidR="001B2F93" w:rsidRPr="00B10694" w:rsidRDefault="001B2F93" w:rsidP="001414F5">
            <w:pPr>
              <w:ind w:left="720"/>
              <w:contextualSpacing/>
              <w:jc w:val="both"/>
              <w:rPr>
                <w:rFonts w:eastAsia="Calibri"/>
                <w:sz w:val="20"/>
                <w:szCs w:val="20"/>
              </w:rPr>
            </w:pPr>
          </w:p>
          <w:p w14:paraId="775E1173" w14:textId="52C78E90" w:rsidR="0031726D" w:rsidRPr="00B10694" w:rsidRDefault="0006469B" w:rsidP="0006469B">
            <w:pPr>
              <w:contextualSpacing/>
              <w:jc w:val="both"/>
              <w:rPr>
                <w:rFonts w:eastAsia="Calibri"/>
                <w:sz w:val="20"/>
                <w:szCs w:val="20"/>
              </w:rPr>
            </w:pPr>
            <w:r w:rsidRPr="0006469B">
              <w:rPr>
                <w:rFonts w:eastAsia="Calibri"/>
                <w:sz w:val="20"/>
                <w:szCs w:val="20"/>
              </w:rPr>
              <w:t xml:space="preserve">The </w:t>
            </w:r>
            <w:hyperlink r:id="rId37" w:history="1">
              <w:r w:rsidRPr="00EF032C">
                <w:rPr>
                  <w:rStyle w:val="Hyperlink"/>
                  <w:rFonts w:eastAsia="Calibri"/>
                  <w:sz w:val="20"/>
                  <w:szCs w:val="20"/>
                </w:rPr>
                <w:t>FY 2023 GYEITI Report</w:t>
              </w:r>
            </w:hyperlink>
            <w:r w:rsidRPr="0006469B">
              <w:rPr>
                <w:rFonts w:eastAsia="Calibri"/>
                <w:sz w:val="20"/>
                <w:szCs w:val="20"/>
              </w:rPr>
              <w:t xml:space="preserve"> provides a sector-wide overview of exploration, production, and export activities in Guyana’s extractive industries. Exploration activities are detailed in </w:t>
            </w:r>
            <w:r w:rsidRPr="0006469B">
              <w:rPr>
                <w:rFonts w:eastAsia="Calibri"/>
                <w:b/>
                <w:bCs/>
                <w:sz w:val="20"/>
                <w:szCs w:val="20"/>
              </w:rPr>
              <w:t>Section 3.1.6</w:t>
            </w:r>
            <w:r w:rsidRPr="0006469B">
              <w:rPr>
                <w:rFonts w:eastAsia="Calibri"/>
                <w:sz w:val="20"/>
                <w:szCs w:val="20"/>
              </w:rPr>
              <w:t xml:space="preserve"> for oil and gas, </w:t>
            </w:r>
            <w:r w:rsidRPr="0006469B">
              <w:rPr>
                <w:rFonts w:eastAsia="Calibri"/>
                <w:b/>
                <w:bCs/>
                <w:sz w:val="20"/>
                <w:szCs w:val="20"/>
              </w:rPr>
              <w:t>Section 3.2.6</w:t>
            </w:r>
            <w:r w:rsidRPr="0006469B">
              <w:rPr>
                <w:rFonts w:eastAsia="Calibri"/>
                <w:sz w:val="20"/>
                <w:szCs w:val="20"/>
              </w:rPr>
              <w:t xml:space="preserve"> for mining, </w:t>
            </w:r>
            <w:r w:rsidRPr="0006469B">
              <w:rPr>
                <w:rFonts w:eastAsia="Calibri"/>
                <w:b/>
                <w:bCs/>
                <w:sz w:val="20"/>
                <w:szCs w:val="20"/>
              </w:rPr>
              <w:t>Section 3.3.6</w:t>
            </w:r>
            <w:r w:rsidRPr="0006469B">
              <w:rPr>
                <w:rFonts w:eastAsia="Calibri"/>
                <w:sz w:val="20"/>
                <w:szCs w:val="20"/>
              </w:rPr>
              <w:t xml:space="preserve"> for forestry, and </w:t>
            </w:r>
            <w:r w:rsidRPr="0006469B">
              <w:rPr>
                <w:rFonts w:eastAsia="Calibri"/>
                <w:b/>
                <w:bCs/>
                <w:sz w:val="20"/>
                <w:szCs w:val="20"/>
              </w:rPr>
              <w:t>Section 3.4.6</w:t>
            </w:r>
            <w:r w:rsidRPr="0006469B">
              <w:rPr>
                <w:rFonts w:eastAsia="Calibri"/>
                <w:sz w:val="20"/>
                <w:szCs w:val="20"/>
              </w:rPr>
              <w:t xml:space="preserve"> for fisheries. Corresponding production and export data, including volumes, values, and methodological notes, are presented in </w:t>
            </w:r>
            <w:r w:rsidRPr="0006469B">
              <w:rPr>
                <w:rFonts w:eastAsia="Calibri"/>
                <w:b/>
                <w:bCs/>
                <w:sz w:val="20"/>
                <w:szCs w:val="20"/>
              </w:rPr>
              <w:t>Sections 3.1.9, 3.2.7, 3.3.7, and 3.4.7</w:t>
            </w:r>
            <w:r w:rsidRPr="0006469B">
              <w:rPr>
                <w:rFonts w:eastAsia="Calibri"/>
                <w:sz w:val="20"/>
                <w:szCs w:val="20"/>
              </w:rPr>
              <w:t>, respectively, providing a comprehensive disclosure for the fiscal year.</w:t>
            </w:r>
          </w:p>
        </w:tc>
      </w:tr>
      <w:tr w:rsidR="001B2F93" w:rsidRPr="001B2F93" w14:paraId="6A9DEB33" w14:textId="77777777" w:rsidTr="00A74514">
        <w:tc>
          <w:tcPr>
            <w:tcW w:w="4495" w:type="dxa"/>
          </w:tcPr>
          <w:p w14:paraId="4841E601" w14:textId="77777777" w:rsidR="001B2F93" w:rsidRPr="001B2F93" w:rsidRDefault="001B2F93" w:rsidP="001414F5">
            <w:pPr>
              <w:contextualSpacing/>
              <w:jc w:val="both"/>
              <w:rPr>
                <w:rFonts w:eastAsia="Calibri"/>
                <w:b/>
                <w:sz w:val="20"/>
                <w:szCs w:val="20"/>
              </w:rPr>
            </w:pPr>
            <w:r w:rsidRPr="001B2F93">
              <w:rPr>
                <w:rFonts w:eastAsia="Calibri"/>
                <w:b/>
                <w:sz w:val="20"/>
                <w:szCs w:val="20"/>
              </w:rPr>
              <w:t>Requirement 4 Revenue Collection</w:t>
            </w:r>
          </w:p>
          <w:p w14:paraId="232198B2" w14:textId="77777777" w:rsidR="001B2F93" w:rsidRPr="001B2F93" w:rsidRDefault="001B2F93" w:rsidP="001414F5">
            <w:pPr>
              <w:contextualSpacing/>
              <w:jc w:val="both"/>
              <w:rPr>
                <w:rFonts w:eastAsia="Calibri"/>
                <w:sz w:val="20"/>
                <w:szCs w:val="20"/>
              </w:rPr>
            </w:pPr>
          </w:p>
          <w:p w14:paraId="5AEBA075" w14:textId="77777777" w:rsidR="001B2F93" w:rsidRPr="001B2F93" w:rsidRDefault="001B2F93" w:rsidP="001414F5">
            <w:pPr>
              <w:contextualSpacing/>
              <w:jc w:val="both"/>
              <w:rPr>
                <w:rFonts w:eastAsia="Calibri"/>
                <w:sz w:val="20"/>
                <w:szCs w:val="20"/>
              </w:rPr>
            </w:pPr>
            <w:r w:rsidRPr="001B2F93">
              <w:rPr>
                <w:rFonts w:eastAsia="Calibri"/>
                <w:sz w:val="20"/>
                <w:szCs w:val="20"/>
              </w:rPr>
              <w:t xml:space="preserve">4.1 Comprehensive disclosure of taxes and revenues. a) In advance of the reporting process, the multi-stakeholder group is required to agree on which payments and revenues are material. It, therefore, </w:t>
            </w:r>
            <w:r w:rsidRPr="001B2F93">
              <w:rPr>
                <w:rFonts w:eastAsia="Calibri"/>
                <w:sz w:val="20"/>
                <w:szCs w:val="20"/>
              </w:rPr>
              <w:lastRenderedPageBreak/>
              <w:t xml:space="preserve">must be disclosed, including appropriate materiality definitions and thresholds. Payments and revenues are considered material if their omission or misstatement could significantly affect the comprehensiveness of the EITI Report. A description of each revenue stream, related materiality definitions, and thresholds should be disclosed. In establishing materiality definitions and thresholds, the multi-stakeholder group should consider the size of the revenue streams relative to total revenues. The multi-stakeholder group should document the options and rationale for establishing the definitions and thresholds. b) The following revenue streams should be included: </w:t>
            </w:r>
            <w:proofErr w:type="spellStart"/>
            <w:r w:rsidRPr="001B2F93">
              <w:rPr>
                <w:rFonts w:eastAsia="Calibri"/>
                <w:sz w:val="20"/>
                <w:szCs w:val="20"/>
              </w:rPr>
              <w:t>i</w:t>
            </w:r>
            <w:proofErr w:type="spellEnd"/>
            <w:r w:rsidRPr="001B2F93">
              <w:rPr>
                <w:rFonts w:eastAsia="Calibri"/>
                <w:sz w:val="20"/>
                <w:szCs w:val="20"/>
              </w:rPr>
              <w:t>. The host government’s production entitlement (such as profit oil) ii. National state-owned company production entitlement iii. Profits taxes iv. Royalties v. Dividends vi. Bonuses, such as signature, discovery, and production bonuses vii. License fees, rental fees, entry fees, and other considerations for licenses and/or concessions viii. Any other significant payments and material benefit to the government. Any revenue streams or benefits should only be excluded where they are not applicable or where the multi-stakeholder group agrees that their omission will not materially affect the comprehensiveness of the EITI Report. c) Implementing countries must comprehensively reconcile government revenues and company payments under the agreed scope, including payments to and from state-owned enterprises. All companies making material payments to the government must comprehensively disclose these payments under the agreed scope. An entity should only be exempted from reporting if it can be demonstrated that its payments and revenues are not material. All government entities receiving material revenues must comprehensively disclose these revenues according to the agreed scope.</w:t>
            </w:r>
          </w:p>
          <w:p w14:paraId="1C778066" w14:textId="77777777" w:rsidR="001B2F93" w:rsidRPr="001B2F93" w:rsidRDefault="001B2F93" w:rsidP="001414F5">
            <w:pPr>
              <w:contextualSpacing/>
              <w:jc w:val="both"/>
              <w:rPr>
                <w:rFonts w:eastAsia="Calibri"/>
                <w:sz w:val="20"/>
                <w:szCs w:val="20"/>
              </w:rPr>
            </w:pPr>
          </w:p>
          <w:p w14:paraId="2F857F01" w14:textId="77777777" w:rsidR="001B2F93" w:rsidRPr="001B2F93" w:rsidRDefault="001B2F93" w:rsidP="001414F5">
            <w:pPr>
              <w:contextualSpacing/>
              <w:jc w:val="both"/>
              <w:rPr>
                <w:rFonts w:eastAsia="Calibri"/>
                <w:sz w:val="20"/>
                <w:szCs w:val="20"/>
              </w:rPr>
            </w:pPr>
            <w:r w:rsidRPr="001B2F93">
              <w:rPr>
                <w:rFonts w:eastAsia="Calibri"/>
                <w:sz w:val="20"/>
                <w:szCs w:val="20"/>
              </w:rPr>
              <w:t>d) Unless there are significant practical barriers, the government is additionally required to provide aggregate information about the total revenues received from each benefit stream agreed in the scope of the EITI Report, including payments that fall below-agreed materiality thresholds. The Independent Administrator should draw on relevant data and estimates from other sources to comprehensively account for the total government revenues where this data is unavailable.</w:t>
            </w:r>
          </w:p>
          <w:p w14:paraId="2F661AD0" w14:textId="77777777" w:rsidR="001B2F93" w:rsidRPr="001B2F93" w:rsidRDefault="001B2F93" w:rsidP="001414F5">
            <w:pPr>
              <w:contextualSpacing/>
              <w:jc w:val="both"/>
              <w:rPr>
                <w:rFonts w:eastAsia="Calibri"/>
                <w:sz w:val="20"/>
                <w:szCs w:val="20"/>
              </w:rPr>
            </w:pPr>
          </w:p>
          <w:p w14:paraId="7B1F620B" w14:textId="77777777" w:rsidR="001B2F93" w:rsidRPr="001B2F93" w:rsidRDefault="001B2F93" w:rsidP="001414F5">
            <w:pPr>
              <w:contextualSpacing/>
              <w:jc w:val="both"/>
              <w:rPr>
                <w:rFonts w:eastAsia="Calibri"/>
                <w:sz w:val="20"/>
                <w:szCs w:val="20"/>
              </w:rPr>
            </w:pPr>
            <w:r w:rsidRPr="001B2F93">
              <w:rPr>
                <w:rFonts w:eastAsia="Calibri"/>
                <w:sz w:val="20"/>
                <w:szCs w:val="20"/>
              </w:rPr>
              <w:t xml:space="preserve">4.2 Sale of the state’s share of production or other revenues collected in-kind. Where the sale of the state’s share of production or other revenues collected in-kind is material, the government, including state-owned enterprises, is required to disclose the volumes </w:t>
            </w:r>
            <w:r w:rsidRPr="001B2F93">
              <w:rPr>
                <w:rFonts w:eastAsia="Calibri"/>
                <w:sz w:val="20"/>
                <w:szCs w:val="20"/>
              </w:rPr>
              <w:lastRenderedPageBreak/>
              <w:t xml:space="preserve">sold and revenues received. The published data must be disaggregated by individual buying companies and commensurate with other payments and revenue streams (Requirement 4.7.). Reporting could also break down disclosures by product type, price, market, and sale volume. Where practically feasible, the multi-stakeholder group is encouraged to task the Independent Administrator with reconciling the volumes sold and revenues received by including the buying companies in the reporting process. </w:t>
            </w:r>
          </w:p>
          <w:p w14:paraId="7E0140F2" w14:textId="77777777" w:rsidR="001B2F93" w:rsidRPr="001B2F93" w:rsidRDefault="001B2F93" w:rsidP="001414F5">
            <w:pPr>
              <w:contextualSpacing/>
              <w:jc w:val="both"/>
              <w:rPr>
                <w:rFonts w:eastAsia="Calibri"/>
                <w:sz w:val="20"/>
                <w:szCs w:val="20"/>
              </w:rPr>
            </w:pPr>
          </w:p>
          <w:p w14:paraId="112574FC" w14:textId="77777777" w:rsidR="001B2F93" w:rsidRPr="001B2F93" w:rsidRDefault="001B2F93" w:rsidP="001414F5">
            <w:pPr>
              <w:contextualSpacing/>
              <w:jc w:val="both"/>
              <w:rPr>
                <w:rFonts w:eastAsia="Calibri"/>
                <w:sz w:val="20"/>
                <w:szCs w:val="20"/>
              </w:rPr>
            </w:pPr>
            <w:r w:rsidRPr="001B2F93">
              <w:rPr>
                <w:rFonts w:eastAsia="Calibri"/>
                <w:sz w:val="20"/>
                <w:szCs w:val="20"/>
              </w:rPr>
              <w:t>4.3 Infrastructure provisions and barter arrangements. The multi-stakeholder group and the Independent Administrator are required to consider whether there are any agreements or sets of agreements involving the provision of goods and services (including loans, grants, and infrastructure works) in full or partial exchange for oil, gas, or mining exploration or production concessions or physical delivery of such commodities. To be able to do so, the multi-stakeholder group and the Independent Administrator need to gain a full understanding of the terms of the relevant agreements and contracts, the parties involved, the resources which the state has pledged, the value of the balancing benefit stream (e.g., infrastructure works), and the materiality of these agreements relative to conventional contracts. The multi-stakeholder group concludes that these agreements are material. The multi-stakeholder group and the Independent Administrator are required to ensure that the EITI Report addresses these agreements, providing a level of detail and transparency commensurate with the disclosure and reconciliation of other payments and revenue streams. Where reconciliation of key transactions is not feasible, the multi-stakeholder group should agree on an approach for unilateral disclosure by the parties to the agreement(s) to be included in the EITI Report.</w:t>
            </w:r>
          </w:p>
          <w:p w14:paraId="65059EC4" w14:textId="77777777" w:rsidR="001B2F93" w:rsidRPr="001B2F93" w:rsidRDefault="001B2F93" w:rsidP="001414F5">
            <w:pPr>
              <w:contextualSpacing/>
              <w:jc w:val="both"/>
              <w:rPr>
                <w:rFonts w:eastAsia="Calibri"/>
                <w:sz w:val="20"/>
                <w:szCs w:val="20"/>
              </w:rPr>
            </w:pPr>
          </w:p>
          <w:p w14:paraId="23A8C063" w14:textId="77777777" w:rsidR="001B2F93" w:rsidRPr="001B2F93" w:rsidRDefault="001B2F93" w:rsidP="001414F5">
            <w:pPr>
              <w:contextualSpacing/>
              <w:jc w:val="both"/>
              <w:rPr>
                <w:rFonts w:eastAsia="Calibri"/>
                <w:sz w:val="20"/>
                <w:szCs w:val="20"/>
              </w:rPr>
            </w:pPr>
            <w:r w:rsidRPr="001B2F93">
              <w:rPr>
                <w:rFonts w:eastAsia="Calibri"/>
                <w:sz w:val="20"/>
                <w:szCs w:val="20"/>
              </w:rPr>
              <w:t xml:space="preserve">4.4 Transportation revenues. Where revenues from the transportation of oil, gas, and minerals are material, the government and state-owned enterprises (SOEs) are expected to disclose the revenues received. The published data must be disaggregated to levels commensurate with other payments and revenue streams (Requirement 4.7.). Implementing countries could disclose </w:t>
            </w:r>
            <w:proofErr w:type="spellStart"/>
            <w:r w:rsidRPr="001B2F93">
              <w:rPr>
                <w:rFonts w:eastAsia="Calibri"/>
                <w:sz w:val="20"/>
                <w:szCs w:val="20"/>
              </w:rPr>
              <w:t>i</w:t>
            </w:r>
            <w:proofErr w:type="spellEnd"/>
            <w:r w:rsidRPr="001B2F93">
              <w:rPr>
                <w:rFonts w:eastAsia="Calibri"/>
                <w:sz w:val="20"/>
                <w:szCs w:val="20"/>
              </w:rPr>
              <w:t xml:space="preserve">. A description of the transportation arrangements, including the product, transportation route(s), and the relevant companies and government entities involved in transportation, including SOE(s). ii. Definitions of the relevant transportation taxes, tariffs, or other relevant payments and the methodologies used to calculate them. iii. Disclosure of tariff rates and volume of the </w:t>
            </w:r>
            <w:r w:rsidRPr="001B2F93">
              <w:rPr>
                <w:rFonts w:eastAsia="Calibri"/>
                <w:sz w:val="20"/>
                <w:szCs w:val="20"/>
              </w:rPr>
              <w:lastRenderedPageBreak/>
              <w:t>transported commodities. iv. Disclosure of revenues received by government entities and SOE(s) concerning oil, gas, and minerals transportation. v. Where practicable, the multi-stakeholder group is encouraged to task the Independent Administrator with reconciling material payments and revenues associated with oil, gas, and minerals transportation.</w:t>
            </w:r>
          </w:p>
          <w:p w14:paraId="1BE9611F" w14:textId="77777777" w:rsidR="001B2F93" w:rsidRPr="001B2F93" w:rsidRDefault="001B2F93" w:rsidP="001414F5">
            <w:pPr>
              <w:contextualSpacing/>
              <w:jc w:val="both"/>
              <w:rPr>
                <w:rFonts w:eastAsia="Calibri"/>
                <w:sz w:val="20"/>
                <w:szCs w:val="20"/>
              </w:rPr>
            </w:pPr>
          </w:p>
          <w:p w14:paraId="633F9CDB" w14:textId="77777777" w:rsidR="001B2F93" w:rsidRPr="001B2F93" w:rsidRDefault="001B2F93" w:rsidP="001414F5">
            <w:pPr>
              <w:contextualSpacing/>
              <w:jc w:val="both"/>
              <w:rPr>
                <w:rFonts w:eastAsia="Calibri"/>
                <w:sz w:val="20"/>
                <w:szCs w:val="20"/>
              </w:rPr>
            </w:pPr>
            <w:r w:rsidRPr="001B2F93">
              <w:rPr>
                <w:rFonts w:eastAsia="Calibri"/>
                <w:sz w:val="20"/>
                <w:szCs w:val="20"/>
              </w:rPr>
              <w:t xml:space="preserve">4.5 Transactions related to State-owned enterprises (SOEs). The multi-stakeholder group must ensure that the reporting process comprehensively addresses the role of SOEs, including material payments to SOEs from oil, gas, and mining companies and transfers between SOEs and other government agencies. </w:t>
            </w:r>
          </w:p>
          <w:p w14:paraId="1A71590C" w14:textId="77777777" w:rsidR="001B2F93" w:rsidRPr="001B2F93" w:rsidRDefault="001B2F93" w:rsidP="001414F5">
            <w:pPr>
              <w:contextualSpacing/>
              <w:jc w:val="both"/>
              <w:rPr>
                <w:rFonts w:eastAsia="Calibri"/>
                <w:sz w:val="20"/>
                <w:szCs w:val="20"/>
              </w:rPr>
            </w:pPr>
          </w:p>
          <w:p w14:paraId="0971F2E3" w14:textId="77777777" w:rsidR="001B2F93" w:rsidRPr="001B2F93" w:rsidRDefault="001B2F93" w:rsidP="001414F5">
            <w:pPr>
              <w:contextualSpacing/>
              <w:jc w:val="both"/>
              <w:rPr>
                <w:rFonts w:eastAsia="Calibri"/>
                <w:sz w:val="20"/>
                <w:szCs w:val="20"/>
              </w:rPr>
            </w:pPr>
          </w:p>
          <w:p w14:paraId="737F938D" w14:textId="77777777" w:rsidR="001B2F93" w:rsidRPr="001B2F93" w:rsidRDefault="001B2F93" w:rsidP="001414F5">
            <w:pPr>
              <w:contextualSpacing/>
              <w:jc w:val="both"/>
              <w:rPr>
                <w:rFonts w:eastAsia="Calibri"/>
                <w:sz w:val="20"/>
                <w:szCs w:val="20"/>
              </w:rPr>
            </w:pPr>
            <w:r w:rsidRPr="001B2F93">
              <w:rPr>
                <w:rFonts w:eastAsia="Calibri"/>
                <w:sz w:val="20"/>
                <w:szCs w:val="20"/>
              </w:rPr>
              <w:t xml:space="preserve">4.6 Sub-national payments. It is required that the multi-stakeholder group establish whether direct payments, within the scope of the agreed benefit streams, from companies to subnational government entities are material. Where material, the multi-stakeholder group is required to ensure that company payments to subnational government entities and the receipt are disclosed and reconciled in the EITI Report. </w:t>
            </w:r>
          </w:p>
          <w:p w14:paraId="004C850F" w14:textId="77777777" w:rsidR="001B2F93" w:rsidRPr="001B2F93" w:rsidRDefault="001B2F93" w:rsidP="001414F5">
            <w:pPr>
              <w:contextualSpacing/>
              <w:jc w:val="both"/>
              <w:rPr>
                <w:rFonts w:eastAsia="Calibri"/>
                <w:sz w:val="20"/>
                <w:szCs w:val="20"/>
              </w:rPr>
            </w:pPr>
          </w:p>
          <w:p w14:paraId="1299353E" w14:textId="77777777" w:rsidR="001B2F93" w:rsidRPr="001B2F93" w:rsidRDefault="001B2F93" w:rsidP="001414F5">
            <w:pPr>
              <w:contextualSpacing/>
              <w:jc w:val="both"/>
              <w:rPr>
                <w:rFonts w:eastAsia="Calibri"/>
                <w:sz w:val="20"/>
                <w:szCs w:val="20"/>
              </w:rPr>
            </w:pPr>
            <w:r w:rsidRPr="001B2F93">
              <w:rPr>
                <w:rFonts w:eastAsia="Calibri"/>
                <w:sz w:val="20"/>
                <w:szCs w:val="20"/>
              </w:rPr>
              <w:t>4.7 Level of disaggregation. The multi-stakeholder group is required to agree on the disaggregation level for the data publication. It is required that individual companies, government entities, and revenue streams present EITI data. Reporting at the project level is required, provided it is consistent with the United States Securities and Exchange Commission rules and the future European Union requirements.</w:t>
            </w:r>
          </w:p>
          <w:p w14:paraId="1A9C461F" w14:textId="77777777" w:rsidR="001B2F93" w:rsidRPr="001B2F93" w:rsidRDefault="001B2F93" w:rsidP="001414F5">
            <w:pPr>
              <w:contextualSpacing/>
              <w:jc w:val="both"/>
              <w:rPr>
                <w:rFonts w:eastAsia="Calibri"/>
                <w:sz w:val="20"/>
                <w:szCs w:val="20"/>
              </w:rPr>
            </w:pPr>
          </w:p>
          <w:p w14:paraId="783AD6C0" w14:textId="77777777" w:rsidR="001B2F93" w:rsidRPr="001B2F93" w:rsidRDefault="001B2F93" w:rsidP="001414F5">
            <w:pPr>
              <w:contextualSpacing/>
              <w:jc w:val="both"/>
              <w:rPr>
                <w:rFonts w:eastAsia="Calibri"/>
                <w:sz w:val="20"/>
                <w:szCs w:val="20"/>
              </w:rPr>
            </w:pPr>
            <w:r w:rsidRPr="001B2F93">
              <w:rPr>
                <w:rFonts w:eastAsia="Calibri"/>
                <w:sz w:val="20"/>
                <w:szCs w:val="20"/>
              </w:rPr>
              <w:t>4.8 Data timeliness. a) Implementing countries must produce their first EITI Report within 18 months of being admitted as an EITI Candidate. After that, implementing countries are expected to produce EITI Reports annually. b) Implementing countries must disclose data no older than the second to last complete accounting period, e.g., an EITI Report published in the calendar/the financial year 2016 must be based on data no later than the calendar/financial year 2014. Multi-stakeholder groups are encouraged to explore opportunities to disclose data as soon as possible, for example, through continuous online disclosures or, where available, by publishing additional, more recent contextual EITI data than the accounting period covered by the EITI revenue data. If EITI reporting is significantly delayed, the multi-stakeholder group should take steps to ensure that EITI Reports are issued for the intervening reporting periods so that every year is subject to reporting. c) The multi-</w:t>
            </w:r>
            <w:r w:rsidRPr="001B2F93">
              <w:rPr>
                <w:rFonts w:eastAsia="Calibri"/>
                <w:sz w:val="20"/>
                <w:szCs w:val="20"/>
              </w:rPr>
              <w:lastRenderedPageBreak/>
              <w:t xml:space="preserve">stakeholder group is required to agree to the accounting period covered by the EITI Report. </w:t>
            </w:r>
          </w:p>
          <w:p w14:paraId="044D7EB1" w14:textId="77777777" w:rsidR="001B2F93" w:rsidRPr="001B2F93" w:rsidRDefault="001B2F93" w:rsidP="001414F5">
            <w:pPr>
              <w:contextualSpacing/>
              <w:jc w:val="both"/>
              <w:rPr>
                <w:rFonts w:eastAsia="Calibri"/>
                <w:sz w:val="20"/>
                <w:szCs w:val="20"/>
              </w:rPr>
            </w:pPr>
          </w:p>
          <w:p w14:paraId="2C020A6B" w14:textId="77777777" w:rsidR="001B2F93" w:rsidRPr="001B2F93" w:rsidRDefault="001B2F93" w:rsidP="001414F5">
            <w:pPr>
              <w:contextualSpacing/>
              <w:jc w:val="both"/>
              <w:rPr>
                <w:rFonts w:eastAsia="Calibri"/>
                <w:sz w:val="20"/>
                <w:szCs w:val="20"/>
              </w:rPr>
            </w:pPr>
            <w:r w:rsidRPr="001B2F93">
              <w:rPr>
                <w:rFonts w:eastAsia="Calibri"/>
                <w:sz w:val="20"/>
                <w:szCs w:val="20"/>
              </w:rPr>
              <w:t xml:space="preserve">4.9 Data quality and assurance. a) The EITI requires assessing whether the payments and revenues are subject to credible, independent audit, applying international auditing standards. b) It is required that payments and revenues be reconciled by a credible, independent administrator, applying international auditing standards and the administrator’s opinion regarding that reconciliation, including discrepancies, should any be identified. </w:t>
            </w:r>
            <w:proofErr w:type="spellStart"/>
            <w:r w:rsidRPr="001B2F93">
              <w:rPr>
                <w:rFonts w:eastAsia="Calibri"/>
                <w:sz w:val="20"/>
                <w:szCs w:val="20"/>
              </w:rPr>
              <w:t>i</w:t>
            </w:r>
            <w:proofErr w:type="spellEnd"/>
            <w:r w:rsidRPr="001B2F93">
              <w:rPr>
                <w:rFonts w:eastAsia="Calibri"/>
                <w:sz w:val="20"/>
                <w:szCs w:val="20"/>
              </w:rPr>
              <w:t>. The reconciliation of company payments and government revenues must be undertaken by an Independent Administrator applying international professional standards. ii. The multi-stakeholder group must perceive the Independent Administrator as credible, trustworthy, and technically competent. The multi-stakeholder group should endorse the appointment of the Independent Administrator. iii. The multi-stakeholder group and the Independent Administrator must agree to the Terms of Reference for the EITI Report based on the standard Terms of Reference and the ‘agreed-upon procedure for EITI Reports’3 endorsed by the EITI Board. Should the multi-stakeholder group wish to adapt or deviate from these agreed-upon procedures, approval from the EITI Board must be sought in advance (Requirement 8.1). c) Where the assessment in 4.9(a) concludes that there is (</w:t>
            </w:r>
            <w:proofErr w:type="spellStart"/>
            <w:r w:rsidRPr="001B2F93">
              <w:rPr>
                <w:rFonts w:eastAsia="Calibri"/>
                <w:sz w:val="20"/>
                <w:szCs w:val="20"/>
              </w:rPr>
              <w:t>i</w:t>
            </w:r>
            <w:proofErr w:type="spellEnd"/>
            <w:r w:rsidRPr="001B2F93">
              <w:rPr>
                <w:rFonts w:eastAsia="Calibri"/>
                <w:sz w:val="20"/>
                <w:szCs w:val="20"/>
              </w:rPr>
              <w:t>) routine disclosure of the data required by the EITI Standard in requisite detail, and (ii) that the financial data is subject to credible, independent audit, applying international standards, the multi-stakeholder group may seek Board approval to mainstream EITI implementation under the ‘Agreed upon procedure for mainstreamed disclosures.’4 Without such prior approval, adherence to 4.9.b  is required.</w:t>
            </w:r>
          </w:p>
        </w:tc>
        <w:tc>
          <w:tcPr>
            <w:tcW w:w="5400" w:type="dxa"/>
          </w:tcPr>
          <w:p w14:paraId="081ACAF1" w14:textId="77777777" w:rsidR="00EA2B50" w:rsidRDefault="00EA2B50" w:rsidP="00D02FA7">
            <w:pPr>
              <w:contextualSpacing/>
              <w:jc w:val="both"/>
              <w:rPr>
                <w:rFonts w:eastAsia="Calibri"/>
                <w:sz w:val="20"/>
                <w:szCs w:val="20"/>
              </w:rPr>
            </w:pPr>
          </w:p>
          <w:p w14:paraId="15959E3C" w14:textId="77777777" w:rsidR="00EA2B50" w:rsidRDefault="00EA2B50" w:rsidP="00D02FA7">
            <w:pPr>
              <w:contextualSpacing/>
              <w:jc w:val="both"/>
              <w:rPr>
                <w:rFonts w:eastAsia="Calibri"/>
                <w:sz w:val="20"/>
                <w:szCs w:val="20"/>
              </w:rPr>
            </w:pPr>
          </w:p>
          <w:p w14:paraId="793A7CCF" w14:textId="06E83714" w:rsidR="001B2F93" w:rsidRPr="00B10694" w:rsidRDefault="001B2F93" w:rsidP="00D02FA7">
            <w:pPr>
              <w:contextualSpacing/>
              <w:jc w:val="both"/>
              <w:rPr>
                <w:rFonts w:eastAsia="Calibri"/>
                <w:sz w:val="20"/>
                <w:szCs w:val="20"/>
              </w:rPr>
            </w:pPr>
            <w:r w:rsidRPr="00B10694">
              <w:rPr>
                <w:rFonts w:eastAsia="Calibri"/>
                <w:sz w:val="20"/>
                <w:szCs w:val="20"/>
              </w:rPr>
              <w:t xml:space="preserve">In December 2025, the FY 23 EITI </w:t>
            </w:r>
            <w:r w:rsidR="00D02FA7" w:rsidRPr="00B10694">
              <w:rPr>
                <w:rFonts w:eastAsia="Calibri"/>
                <w:sz w:val="20"/>
                <w:szCs w:val="20"/>
              </w:rPr>
              <w:t>Report</w:t>
            </w:r>
            <w:r w:rsidRPr="00B10694">
              <w:rPr>
                <w:rFonts w:eastAsia="Calibri"/>
                <w:sz w:val="20"/>
                <w:szCs w:val="20"/>
              </w:rPr>
              <w:t xml:space="preserve"> was prepared by Independent Administrator, BDO Professional  services  of  Guyana . </w:t>
            </w:r>
          </w:p>
          <w:p w14:paraId="53D2FFDE" w14:textId="77777777" w:rsidR="001B2F93" w:rsidRPr="00B10694" w:rsidRDefault="001B2F93" w:rsidP="001414F5">
            <w:pPr>
              <w:ind w:left="720"/>
              <w:contextualSpacing/>
              <w:jc w:val="both"/>
              <w:rPr>
                <w:rFonts w:eastAsia="Calibri"/>
                <w:sz w:val="20"/>
                <w:szCs w:val="20"/>
              </w:rPr>
            </w:pPr>
          </w:p>
          <w:p w14:paraId="2CE55734" w14:textId="77777777" w:rsidR="001B2F93" w:rsidRPr="00B10694" w:rsidRDefault="001B2F93" w:rsidP="00D02FA7">
            <w:pPr>
              <w:contextualSpacing/>
              <w:jc w:val="both"/>
              <w:rPr>
                <w:rFonts w:eastAsia="Calibri"/>
                <w:sz w:val="20"/>
                <w:szCs w:val="20"/>
              </w:rPr>
            </w:pPr>
            <w:r w:rsidRPr="00B10694">
              <w:rPr>
                <w:rFonts w:eastAsia="Calibri"/>
                <w:sz w:val="20"/>
                <w:szCs w:val="20"/>
              </w:rPr>
              <w:lastRenderedPageBreak/>
              <w:t>To comply with EITI Requirements 4.3;4.4;4.6;4.9 and 5.2 b the MSG agreed upon a procedure to address data quality and assurance of information submitted by the reporting entities. To ensure the credibility of the data submitted, with the instructions and approval of the MSG the IA set the following:</w:t>
            </w:r>
          </w:p>
          <w:p w14:paraId="754F250D" w14:textId="77777777" w:rsidR="001B2F93" w:rsidRPr="00B10694" w:rsidRDefault="001B2F93" w:rsidP="001414F5">
            <w:pPr>
              <w:ind w:left="720"/>
              <w:contextualSpacing/>
              <w:jc w:val="both"/>
              <w:rPr>
                <w:rFonts w:eastAsia="Calibri"/>
                <w:sz w:val="20"/>
                <w:szCs w:val="20"/>
              </w:rPr>
            </w:pPr>
          </w:p>
          <w:p w14:paraId="784D68A4" w14:textId="77777777" w:rsidR="001B2F93" w:rsidRPr="00B10694" w:rsidRDefault="001B2F93" w:rsidP="001414F5">
            <w:pPr>
              <w:numPr>
                <w:ilvl w:val="0"/>
                <w:numId w:val="44"/>
              </w:numPr>
              <w:ind w:left="410" w:hanging="270"/>
              <w:contextualSpacing/>
              <w:jc w:val="both"/>
              <w:rPr>
                <w:rFonts w:eastAsia="Calibri"/>
                <w:sz w:val="20"/>
                <w:szCs w:val="20"/>
              </w:rPr>
            </w:pPr>
            <w:r w:rsidRPr="00B10694">
              <w:rPr>
                <w:rFonts w:eastAsia="Calibri"/>
                <w:sz w:val="20"/>
                <w:szCs w:val="20"/>
              </w:rPr>
              <w:t>The declarations made by companies and govt agencies are required to be signed by an authorized senior official (at management level) and an authorized senior official at a higher / executive level.</w:t>
            </w:r>
          </w:p>
          <w:p w14:paraId="4CB464C5" w14:textId="358F1209" w:rsidR="001B2F93" w:rsidRPr="00B10694" w:rsidRDefault="001B2F93" w:rsidP="001414F5">
            <w:pPr>
              <w:numPr>
                <w:ilvl w:val="0"/>
                <w:numId w:val="44"/>
              </w:numPr>
              <w:ind w:left="410" w:hanging="270"/>
              <w:contextualSpacing/>
              <w:jc w:val="both"/>
              <w:rPr>
                <w:rFonts w:eastAsia="Calibri"/>
                <w:sz w:val="20"/>
                <w:szCs w:val="20"/>
              </w:rPr>
            </w:pPr>
            <w:r w:rsidRPr="00B10694">
              <w:rPr>
                <w:rFonts w:eastAsia="Calibri"/>
                <w:sz w:val="20"/>
                <w:szCs w:val="20"/>
              </w:rPr>
              <w:t xml:space="preserve">The declarations made by Government Agencies are required to be certified by the Auditor General that the transactions reported in the Reporting Templates are </w:t>
            </w:r>
            <w:r w:rsidR="00B10694" w:rsidRPr="00B10694">
              <w:rPr>
                <w:rFonts w:eastAsia="Calibri"/>
                <w:sz w:val="20"/>
                <w:szCs w:val="20"/>
              </w:rPr>
              <w:t>complete and</w:t>
            </w:r>
            <w:r w:rsidRPr="00B10694">
              <w:rPr>
                <w:rFonts w:eastAsia="Calibri"/>
                <w:sz w:val="20"/>
                <w:szCs w:val="20"/>
              </w:rPr>
              <w:t xml:space="preserve"> agree with the accounts of government for the period under review.</w:t>
            </w:r>
          </w:p>
          <w:p w14:paraId="3F8AC9E2" w14:textId="77777777" w:rsidR="001B2F93" w:rsidRPr="00B10694" w:rsidRDefault="001B2F93" w:rsidP="001414F5">
            <w:pPr>
              <w:numPr>
                <w:ilvl w:val="0"/>
                <w:numId w:val="44"/>
              </w:numPr>
              <w:ind w:left="410" w:hanging="270"/>
              <w:contextualSpacing/>
              <w:jc w:val="both"/>
              <w:rPr>
                <w:rFonts w:eastAsia="Calibri"/>
                <w:sz w:val="20"/>
                <w:szCs w:val="20"/>
              </w:rPr>
            </w:pPr>
            <w:r w:rsidRPr="00B10694">
              <w:rPr>
                <w:rFonts w:eastAsia="Calibri"/>
                <w:sz w:val="20"/>
                <w:szCs w:val="20"/>
              </w:rPr>
              <w:t xml:space="preserve">The Auditor General in keeping with international standards and practice certified the reporting templates provided by Government Agencies. </w:t>
            </w:r>
          </w:p>
          <w:p w14:paraId="4A6FC7A8" w14:textId="77777777" w:rsidR="001B2F93" w:rsidRPr="00B10694" w:rsidRDefault="001B2F93" w:rsidP="001414F5">
            <w:pPr>
              <w:numPr>
                <w:ilvl w:val="0"/>
                <w:numId w:val="44"/>
              </w:numPr>
              <w:ind w:left="410" w:hanging="270"/>
              <w:contextualSpacing/>
              <w:jc w:val="both"/>
              <w:rPr>
                <w:rFonts w:eastAsia="Calibri"/>
                <w:sz w:val="20"/>
                <w:szCs w:val="20"/>
              </w:rPr>
            </w:pPr>
            <w:r w:rsidRPr="00B10694">
              <w:rPr>
                <w:rFonts w:eastAsia="Calibri"/>
                <w:sz w:val="20"/>
                <w:szCs w:val="20"/>
              </w:rPr>
              <w:t>Extractive entities selected in the reconciliation scope were required to submit their audited financial statements.</w:t>
            </w:r>
          </w:p>
          <w:p w14:paraId="743C014D" w14:textId="77777777" w:rsidR="001B2F93" w:rsidRPr="00B10694" w:rsidRDefault="001B2F93" w:rsidP="00B10694">
            <w:pPr>
              <w:contextualSpacing/>
              <w:jc w:val="both"/>
              <w:rPr>
                <w:rFonts w:eastAsia="Calibri"/>
                <w:strike/>
                <w:sz w:val="20"/>
                <w:szCs w:val="20"/>
              </w:rPr>
            </w:pPr>
          </w:p>
          <w:p w14:paraId="3D0AD438" w14:textId="77777777" w:rsidR="001B2F93" w:rsidRPr="00B10694" w:rsidRDefault="001B2F93" w:rsidP="001414F5">
            <w:pPr>
              <w:contextualSpacing/>
              <w:jc w:val="both"/>
              <w:rPr>
                <w:rFonts w:eastAsia="Calibri"/>
                <w:sz w:val="20"/>
                <w:szCs w:val="20"/>
              </w:rPr>
            </w:pPr>
            <w:r w:rsidRPr="00B10694">
              <w:rPr>
                <w:rFonts w:eastAsia="Calibri"/>
                <w:sz w:val="20"/>
                <w:szCs w:val="20"/>
              </w:rPr>
              <w:t xml:space="preserve">The Inception report and the data templates were approved by the Multi-stakeholders Group on September 29, 2025. </w:t>
            </w:r>
          </w:p>
          <w:p w14:paraId="637C3BE3" w14:textId="77777777" w:rsidR="001B2F93" w:rsidRPr="00B10694" w:rsidRDefault="001B2F93" w:rsidP="001414F5">
            <w:pPr>
              <w:ind w:left="720"/>
              <w:contextualSpacing/>
              <w:jc w:val="both"/>
              <w:rPr>
                <w:rFonts w:eastAsia="Calibri"/>
                <w:sz w:val="20"/>
                <w:szCs w:val="20"/>
              </w:rPr>
            </w:pPr>
          </w:p>
          <w:p w14:paraId="0701ED7D" w14:textId="0CCA3A01" w:rsidR="001B2F93" w:rsidRPr="00B10694" w:rsidRDefault="001B2F93" w:rsidP="005D245E">
            <w:pPr>
              <w:contextualSpacing/>
              <w:jc w:val="both"/>
              <w:rPr>
                <w:rFonts w:eastAsia="Calibri"/>
                <w:sz w:val="20"/>
                <w:szCs w:val="20"/>
              </w:rPr>
            </w:pPr>
            <w:r w:rsidRPr="00B10694">
              <w:rPr>
                <w:rFonts w:eastAsia="Calibri"/>
                <w:sz w:val="20"/>
                <w:szCs w:val="20"/>
              </w:rPr>
              <w:t xml:space="preserve">The FY 23 Report was completed and approved for publication by the MSG. The full report can be accessed on the GYEITI website at: </w:t>
            </w:r>
            <w:r w:rsidRPr="00EA2B50">
              <w:rPr>
                <w:rFonts w:eastAsia="Calibri"/>
                <w:b/>
                <w:bCs/>
                <w:sz w:val="20"/>
                <w:szCs w:val="20"/>
              </w:rPr>
              <w:t xml:space="preserve"> </w:t>
            </w:r>
            <w:hyperlink r:id="rId38" w:history="1">
              <w:r w:rsidRPr="00EA2B50">
                <w:rPr>
                  <w:b/>
                  <w:bCs/>
                  <w:sz w:val="20"/>
                  <w:szCs w:val="20"/>
                  <w:u w:val="single"/>
                </w:rPr>
                <w:t>GYEITI-2023-Report_31-Dec.pdf</w:t>
              </w:r>
            </w:hyperlink>
            <w:r w:rsidR="005D245E" w:rsidRPr="00EA2B50">
              <w:rPr>
                <w:b/>
                <w:bCs/>
              </w:rPr>
              <w:t>.</w:t>
            </w:r>
          </w:p>
          <w:p w14:paraId="70009512" w14:textId="77777777" w:rsidR="001B2F93" w:rsidRPr="00B10694" w:rsidRDefault="001B2F93" w:rsidP="001414F5">
            <w:pPr>
              <w:ind w:left="720"/>
              <w:contextualSpacing/>
              <w:jc w:val="both"/>
              <w:rPr>
                <w:rFonts w:eastAsia="Calibri"/>
                <w:sz w:val="20"/>
                <w:szCs w:val="20"/>
              </w:rPr>
            </w:pPr>
          </w:p>
          <w:p w14:paraId="6163CA60" w14:textId="77777777" w:rsidR="001B2F93" w:rsidRPr="00B10694" w:rsidRDefault="001B2F93" w:rsidP="001414F5">
            <w:pPr>
              <w:ind w:left="720"/>
              <w:contextualSpacing/>
              <w:jc w:val="both"/>
              <w:rPr>
                <w:rFonts w:eastAsia="Calibri"/>
                <w:sz w:val="20"/>
                <w:szCs w:val="20"/>
              </w:rPr>
            </w:pPr>
          </w:p>
          <w:p w14:paraId="4C57A203" w14:textId="77777777" w:rsidR="001B2F93" w:rsidRPr="00B10694" w:rsidRDefault="001B2F93" w:rsidP="001414F5">
            <w:pPr>
              <w:ind w:left="720"/>
              <w:contextualSpacing/>
              <w:jc w:val="both"/>
              <w:rPr>
                <w:rFonts w:eastAsia="Calibri"/>
                <w:sz w:val="20"/>
                <w:szCs w:val="20"/>
              </w:rPr>
            </w:pPr>
          </w:p>
          <w:p w14:paraId="58EF1E76" w14:textId="77777777" w:rsidR="001B2F93" w:rsidRPr="00B10694" w:rsidRDefault="001B2F93" w:rsidP="001414F5">
            <w:pPr>
              <w:ind w:left="720"/>
              <w:contextualSpacing/>
              <w:jc w:val="both"/>
              <w:rPr>
                <w:rFonts w:eastAsia="Calibri"/>
                <w:sz w:val="20"/>
                <w:szCs w:val="20"/>
              </w:rPr>
            </w:pPr>
          </w:p>
          <w:p w14:paraId="687078BF" w14:textId="77777777" w:rsidR="001B2F93" w:rsidRPr="00B10694" w:rsidRDefault="001B2F93" w:rsidP="001414F5">
            <w:pPr>
              <w:ind w:left="720"/>
              <w:contextualSpacing/>
              <w:jc w:val="both"/>
              <w:rPr>
                <w:rFonts w:eastAsia="Calibri"/>
                <w:sz w:val="20"/>
                <w:szCs w:val="20"/>
              </w:rPr>
            </w:pPr>
          </w:p>
          <w:p w14:paraId="3DD51619" w14:textId="77777777" w:rsidR="001B2F93" w:rsidRPr="00B10694" w:rsidRDefault="001B2F93" w:rsidP="001414F5">
            <w:pPr>
              <w:ind w:left="720"/>
              <w:contextualSpacing/>
              <w:jc w:val="both"/>
              <w:rPr>
                <w:rFonts w:eastAsia="Calibri"/>
                <w:sz w:val="20"/>
                <w:szCs w:val="20"/>
              </w:rPr>
            </w:pPr>
          </w:p>
          <w:p w14:paraId="32BD8756" w14:textId="77777777" w:rsidR="001B2F93" w:rsidRPr="00B10694" w:rsidRDefault="001B2F93" w:rsidP="001414F5">
            <w:pPr>
              <w:ind w:left="720"/>
              <w:contextualSpacing/>
              <w:jc w:val="both"/>
              <w:rPr>
                <w:rFonts w:eastAsia="Calibri"/>
                <w:sz w:val="20"/>
                <w:szCs w:val="20"/>
              </w:rPr>
            </w:pPr>
          </w:p>
          <w:p w14:paraId="2BFDC84F" w14:textId="77777777" w:rsidR="001B2F93" w:rsidRPr="00B10694" w:rsidRDefault="001B2F93" w:rsidP="001414F5">
            <w:pPr>
              <w:ind w:left="720"/>
              <w:contextualSpacing/>
              <w:jc w:val="both"/>
              <w:rPr>
                <w:rFonts w:eastAsia="Calibri"/>
                <w:sz w:val="20"/>
                <w:szCs w:val="20"/>
              </w:rPr>
            </w:pPr>
          </w:p>
          <w:p w14:paraId="41FA3EEA" w14:textId="77777777" w:rsidR="001B2F93" w:rsidRPr="00B10694" w:rsidRDefault="001B2F93" w:rsidP="001414F5">
            <w:pPr>
              <w:ind w:left="720"/>
              <w:contextualSpacing/>
              <w:jc w:val="both"/>
              <w:rPr>
                <w:rFonts w:eastAsia="Calibri"/>
                <w:sz w:val="20"/>
                <w:szCs w:val="20"/>
              </w:rPr>
            </w:pPr>
          </w:p>
          <w:p w14:paraId="384C6409" w14:textId="77777777" w:rsidR="001B2F93" w:rsidRPr="00B10694" w:rsidRDefault="001B2F93" w:rsidP="001414F5">
            <w:pPr>
              <w:ind w:left="720"/>
              <w:contextualSpacing/>
              <w:jc w:val="both"/>
              <w:rPr>
                <w:rFonts w:eastAsia="Calibri"/>
                <w:sz w:val="20"/>
                <w:szCs w:val="20"/>
              </w:rPr>
            </w:pPr>
          </w:p>
          <w:p w14:paraId="65A67C9E" w14:textId="77777777" w:rsidR="001B2F93" w:rsidRPr="00B10694" w:rsidRDefault="001B2F93" w:rsidP="001414F5">
            <w:pPr>
              <w:ind w:left="720"/>
              <w:contextualSpacing/>
              <w:jc w:val="both"/>
              <w:rPr>
                <w:rFonts w:eastAsia="Calibri"/>
                <w:sz w:val="20"/>
                <w:szCs w:val="20"/>
              </w:rPr>
            </w:pPr>
          </w:p>
          <w:p w14:paraId="3F07A0F3" w14:textId="77777777" w:rsidR="001B2F93" w:rsidRPr="00B10694" w:rsidRDefault="001B2F93" w:rsidP="001414F5">
            <w:pPr>
              <w:ind w:left="720"/>
              <w:contextualSpacing/>
              <w:jc w:val="both"/>
              <w:rPr>
                <w:rFonts w:eastAsia="Calibri"/>
                <w:sz w:val="20"/>
                <w:szCs w:val="20"/>
              </w:rPr>
            </w:pPr>
          </w:p>
          <w:p w14:paraId="22B6652B" w14:textId="77777777" w:rsidR="001B2F93" w:rsidRPr="00B10694" w:rsidRDefault="001B2F93" w:rsidP="001414F5">
            <w:pPr>
              <w:ind w:left="720"/>
              <w:contextualSpacing/>
              <w:jc w:val="both"/>
              <w:rPr>
                <w:rFonts w:eastAsia="Calibri"/>
                <w:sz w:val="20"/>
                <w:szCs w:val="20"/>
              </w:rPr>
            </w:pPr>
          </w:p>
          <w:p w14:paraId="4A53E2C2" w14:textId="77777777" w:rsidR="001B2F93" w:rsidRPr="00B10694" w:rsidRDefault="001B2F93" w:rsidP="001414F5">
            <w:pPr>
              <w:ind w:left="720"/>
              <w:contextualSpacing/>
              <w:jc w:val="both"/>
              <w:rPr>
                <w:rFonts w:eastAsia="Calibri"/>
                <w:sz w:val="20"/>
                <w:szCs w:val="20"/>
              </w:rPr>
            </w:pPr>
          </w:p>
          <w:p w14:paraId="0F2F18E7" w14:textId="77777777" w:rsidR="001B2F93" w:rsidRPr="00B10694" w:rsidRDefault="001B2F93" w:rsidP="001414F5">
            <w:pPr>
              <w:ind w:left="720"/>
              <w:contextualSpacing/>
              <w:jc w:val="both"/>
              <w:rPr>
                <w:rFonts w:eastAsia="Calibri"/>
                <w:sz w:val="20"/>
                <w:szCs w:val="20"/>
              </w:rPr>
            </w:pPr>
          </w:p>
          <w:p w14:paraId="1CDB0307" w14:textId="77777777" w:rsidR="001B2F93" w:rsidRPr="00B10694" w:rsidRDefault="001B2F93" w:rsidP="001414F5">
            <w:pPr>
              <w:ind w:left="720"/>
              <w:contextualSpacing/>
              <w:jc w:val="both"/>
              <w:rPr>
                <w:rFonts w:eastAsia="Calibri"/>
                <w:sz w:val="20"/>
                <w:szCs w:val="20"/>
              </w:rPr>
            </w:pPr>
          </w:p>
          <w:p w14:paraId="190FE45C" w14:textId="77777777" w:rsidR="001B2F93" w:rsidRPr="00B10694" w:rsidRDefault="001B2F93" w:rsidP="001414F5">
            <w:pPr>
              <w:ind w:left="720"/>
              <w:contextualSpacing/>
              <w:jc w:val="both"/>
              <w:rPr>
                <w:rFonts w:eastAsia="Calibri"/>
                <w:sz w:val="20"/>
                <w:szCs w:val="20"/>
              </w:rPr>
            </w:pPr>
          </w:p>
          <w:p w14:paraId="11B85579" w14:textId="77777777" w:rsidR="001B2F93" w:rsidRPr="00B10694" w:rsidRDefault="001B2F93" w:rsidP="001414F5">
            <w:pPr>
              <w:ind w:left="720"/>
              <w:contextualSpacing/>
              <w:jc w:val="both"/>
              <w:rPr>
                <w:rFonts w:eastAsia="Calibri"/>
                <w:sz w:val="20"/>
                <w:szCs w:val="20"/>
              </w:rPr>
            </w:pPr>
          </w:p>
          <w:p w14:paraId="67B3B156" w14:textId="77777777" w:rsidR="001B2F93" w:rsidRPr="00B10694" w:rsidRDefault="001B2F93" w:rsidP="001414F5">
            <w:pPr>
              <w:ind w:left="720"/>
              <w:contextualSpacing/>
              <w:jc w:val="both"/>
              <w:rPr>
                <w:rFonts w:eastAsia="Calibri"/>
                <w:sz w:val="20"/>
                <w:szCs w:val="20"/>
              </w:rPr>
            </w:pPr>
          </w:p>
          <w:p w14:paraId="73A71ACA" w14:textId="77777777" w:rsidR="001B2F93" w:rsidRPr="00B10694" w:rsidRDefault="001B2F93" w:rsidP="001414F5">
            <w:pPr>
              <w:ind w:left="720"/>
              <w:contextualSpacing/>
              <w:jc w:val="both"/>
              <w:rPr>
                <w:rFonts w:eastAsia="Calibri"/>
                <w:sz w:val="20"/>
                <w:szCs w:val="20"/>
              </w:rPr>
            </w:pPr>
          </w:p>
          <w:p w14:paraId="6CBB9C75" w14:textId="77777777" w:rsidR="001B2F93" w:rsidRPr="00B10694" w:rsidRDefault="001B2F93" w:rsidP="001414F5">
            <w:pPr>
              <w:ind w:left="720"/>
              <w:contextualSpacing/>
              <w:jc w:val="both"/>
              <w:rPr>
                <w:rFonts w:eastAsia="Calibri"/>
                <w:sz w:val="20"/>
                <w:szCs w:val="20"/>
              </w:rPr>
            </w:pPr>
          </w:p>
          <w:p w14:paraId="746E360D" w14:textId="77777777" w:rsidR="001B2F93" w:rsidRPr="005F061F" w:rsidRDefault="001B2F93" w:rsidP="001414F5">
            <w:pPr>
              <w:ind w:left="720"/>
              <w:contextualSpacing/>
              <w:jc w:val="both"/>
              <w:rPr>
                <w:rFonts w:eastAsia="Calibri"/>
                <w:sz w:val="20"/>
                <w:szCs w:val="20"/>
              </w:rPr>
            </w:pPr>
          </w:p>
          <w:p w14:paraId="3941C0DA" w14:textId="71A3364C" w:rsidR="005F29FB" w:rsidRPr="005F29FB" w:rsidRDefault="00AE0FBC" w:rsidP="005F29FB">
            <w:pPr>
              <w:contextualSpacing/>
              <w:jc w:val="both"/>
              <w:rPr>
                <w:rFonts w:eastAsia="Calibri"/>
                <w:sz w:val="20"/>
                <w:szCs w:val="20"/>
                <w:lang/>
              </w:rPr>
            </w:pPr>
            <w:r w:rsidRPr="00AE0FBC">
              <w:rPr>
                <w:rFonts w:eastAsia="Calibri"/>
                <w:sz w:val="20"/>
                <w:szCs w:val="20"/>
                <w:lang/>
              </w:rPr>
              <w:t xml:space="preserve">The </w:t>
            </w:r>
            <w:hyperlink r:id="rId39" w:history="1">
              <w:r w:rsidRPr="00AE0FBC">
                <w:rPr>
                  <w:rStyle w:val="Hyperlink"/>
                  <w:rFonts w:eastAsia="Calibri"/>
                  <w:i/>
                  <w:iCs/>
                  <w:sz w:val="20"/>
                  <w:szCs w:val="20"/>
                  <w:lang/>
                </w:rPr>
                <w:t>FY 2023 GYEITI Report</w:t>
              </w:r>
              <w:r w:rsidR="006F3442" w:rsidRPr="005F29FB">
                <w:rPr>
                  <w:rStyle w:val="Hyperlink"/>
                  <w:rFonts w:eastAsia="Calibri"/>
                  <w:i/>
                  <w:iCs/>
                  <w:sz w:val="20"/>
                  <w:szCs w:val="20"/>
                  <w:lang/>
                </w:rPr>
                <w:t>, chapter</w:t>
              </w:r>
              <w:r w:rsidR="00B0211D" w:rsidRPr="005F29FB">
                <w:rPr>
                  <w:rStyle w:val="Hyperlink"/>
                  <w:rFonts w:eastAsia="Calibri"/>
                  <w:i/>
                  <w:iCs/>
                  <w:sz w:val="20"/>
                  <w:szCs w:val="20"/>
                  <w:lang/>
                </w:rPr>
                <w:t xml:space="preserve"> </w:t>
              </w:r>
              <w:r w:rsidR="006F3442" w:rsidRPr="005F29FB">
                <w:rPr>
                  <w:rStyle w:val="Hyperlink"/>
                  <w:rFonts w:eastAsia="Calibri"/>
                  <w:i/>
                  <w:iCs/>
                  <w:sz w:val="20"/>
                  <w:szCs w:val="20"/>
                </w:rPr>
                <w:t>4.5 Sale of state share of production (Requirement 4.2)</w:t>
              </w:r>
            </w:hyperlink>
            <w:r w:rsidR="006F3442" w:rsidRPr="005F29FB">
              <w:rPr>
                <w:rFonts w:eastAsia="Calibri"/>
                <w:sz w:val="20"/>
                <w:szCs w:val="20"/>
              </w:rPr>
              <w:t xml:space="preserve"> </w:t>
            </w:r>
            <w:r w:rsidR="005F29FB" w:rsidRPr="005F29FB">
              <w:rPr>
                <w:rFonts w:eastAsia="Calibri"/>
                <w:sz w:val="20"/>
                <w:szCs w:val="20"/>
                <w:lang/>
              </w:rPr>
              <w:t xml:space="preserve">outlines the process for marketing and offtake of the State’s share of profit oil, including lifting arrangements, bid evaluation, approval procedures, invoicing, </w:t>
            </w:r>
            <w:r w:rsidR="005F29FB" w:rsidRPr="005F29FB">
              <w:rPr>
                <w:rFonts w:eastAsia="Calibri"/>
                <w:sz w:val="20"/>
                <w:szCs w:val="20"/>
                <w:lang/>
              </w:rPr>
              <w:lastRenderedPageBreak/>
              <w:t>and payment mechanisms. Revenues from crude sales are paid into the Natural Resource Fund (NRF) at the Bank of Guyana.</w:t>
            </w:r>
          </w:p>
          <w:p w14:paraId="398D4B10" w14:textId="77777777" w:rsidR="00EF5E1A" w:rsidRDefault="00EF5E1A" w:rsidP="005F29FB">
            <w:pPr>
              <w:contextualSpacing/>
              <w:jc w:val="both"/>
              <w:rPr>
                <w:rFonts w:eastAsia="Calibri"/>
                <w:sz w:val="20"/>
                <w:szCs w:val="20"/>
                <w:lang/>
              </w:rPr>
            </w:pPr>
          </w:p>
          <w:p w14:paraId="2A904E7A" w14:textId="541B620C" w:rsidR="005F29FB" w:rsidRPr="005F29FB" w:rsidRDefault="005F29FB" w:rsidP="005F29FB">
            <w:pPr>
              <w:contextualSpacing/>
              <w:jc w:val="both"/>
              <w:rPr>
                <w:rFonts w:eastAsia="Calibri"/>
                <w:sz w:val="20"/>
                <w:szCs w:val="20"/>
                <w:lang/>
              </w:rPr>
            </w:pPr>
            <w:r w:rsidRPr="005F29FB">
              <w:rPr>
                <w:rFonts w:eastAsia="Calibri"/>
                <w:sz w:val="20"/>
                <w:szCs w:val="20"/>
                <w:lang/>
              </w:rPr>
              <w:t xml:space="preserve">The report also describes the data collection framework for each lifting (including volumes, prices, buyers, and destinations) and confirms that receipts reported by the Bank of Guyana are reconciled with Ministry of Natural Resources data and PSA operator records. </w:t>
            </w:r>
          </w:p>
          <w:p w14:paraId="431C932C" w14:textId="7D1F6BA5" w:rsidR="001B2F93" w:rsidRPr="00B10694" w:rsidRDefault="001B2F93" w:rsidP="001414F5">
            <w:pPr>
              <w:ind w:left="720"/>
              <w:contextualSpacing/>
              <w:jc w:val="both"/>
              <w:rPr>
                <w:rFonts w:eastAsia="Calibri"/>
                <w:sz w:val="20"/>
                <w:szCs w:val="20"/>
              </w:rPr>
            </w:pPr>
          </w:p>
          <w:p w14:paraId="3A46E1F7" w14:textId="77777777" w:rsidR="001B2F93" w:rsidRPr="00B10694" w:rsidRDefault="001B2F93" w:rsidP="001414F5">
            <w:pPr>
              <w:ind w:left="720"/>
              <w:contextualSpacing/>
              <w:jc w:val="both"/>
              <w:rPr>
                <w:rFonts w:eastAsia="Calibri"/>
                <w:sz w:val="20"/>
                <w:szCs w:val="20"/>
              </w:rPr>
            </w:pPr>
          </w:p>
          <w:p w14:paraId="4C57988C" w14:textId="77777777" w:rsidR="001B2F93" w:rsidRPr="00B10694" w:rsidRDefault="001B2F93" w:rsidP="001414F5">
            <w:pPr>
              <w:ind w:left="720"/>
              <w:contextualSpacing/>
              <w:jc w:val="both"/>
              <w:rPr>
                <w:rFonts w:eastAsia="Calibri"/>
                <w:sz w:val="20"/>
                <w:szCs w:val="20"/>
              </w:rPr>
            </w:pPr>
          </w:p>
          <w:p w14:paraId="57840834" w14:textId="77777777" w:rsidR="001B2F93" w:rsidRPr="00B10694" w:rsidRDefault="001B2F93" w:rsidP="001414F5">
            <w:pPr>
              <w:ind w:left="720"/>
              <w:contextualSpacing/>
              <w:jc w:val="both"/>
              <w:rPr>
                <w:rFonts w:eastAsia="Calibri"/>
                <w:sz w:val="20"/>
                <w:szCs w:val="20"/>
              </w:rPr>
            </w:pPr>
          </w:p>
          <w:p w14:paraId="7F3B8875" w14:textId="77777777" w:rsidR="001B2F93" w:rsidRPr="00B10694" w:rsidRDefault="001B2F93" w:rsidP="001414F5">
            <w:pPr>
              <w:ind w:left="720"/>
              <w:contextualSpacing/>
              <w:jc w:val="both"/>
              <w:rPr>
                <w:rFonts w:eastAsia="Calibri"/>
                <w:sz w:val="20"/>
                <w:szCs w:val="20"/>
              </w:rPr>
            </w:pPr>
          </w:p>
          <w:p w14:paraId="29EEDAFB" w14:textId="77777777" w:rsidR="001B2F93" w:rsidRPr="00B10694" w:rsidRDefault="001B2F93" w:rsidP="001414F5">
            <w:pPr>
              <w:ind w:left="720"/>
              <w:contextualSpacing/>
              <w:jc w:val="both"/>
              <w:rPr>
                <w:rFonts w:eastAsia="Calibri"/>
                <w:sz w:val="20"/>
                <w:szCs w:val="20"/>
              </w:rPr>
            </w:pPr>
          </w:p>
          <w:p w14:paraId="4B538701" w14:textId="77777777" w:rsidR="001B2F93" w:rsidRPr="00B10694" w:rsidRDefault="001B2F93" w:rsidP="001414F5">
            <w:pPr>
              <w:ind w:left="720"/>
              <w:contextualSpacing/>
              <w:jc w:val="both"/>
              <w:rPr>
                <w:rFonts w:eastAsia="Calibri"/>
                <w:sz w:val="20"/>
                <w:szCs w:val="20"/>
              </w:rPr>
            </w:pPr>
          </w:p>
          <w:p w14:paraId="5E6F1790" w14:textId="77777777" w:rsidR="001B2F93" w:rsidRPr="00B10694" w:rsidRDefault="001B2F93" w:rsidP="001414F5">
            <w:pPr>
              <w:ind w:left="720"/>
              <w:contextualSpacing/>
              <w:jc w:val="both"/>
              <w:rPr>
                <w:rFonts w:eastAsia="Calibri"/>
                <w:sz w:val="20"/>
                <w:szCs w:val="20"/>
              </w:rPr>
            </w:pPr>
          </w:p>
          <w:p w14:paraId="66E7E639" w14:textId="77777777" w:rsidR="001B2F93" w:rsidRPr="00B10694" w:rsidRDefault="001B2F93" w:rsidP="001414F5">
            <w:pPr>
              <w:ind w:left="720"/>
              <w:contextualSpacing/>
              <w:jc w:val="both"/>
              <w:rPr>
                <w:rFonts w:eastAsia="Calibri"/>
                <w:sz w:val="20"/>
                <w:szCs w:val="20"/>
              </w:rPr>
            </w:pPr>
          </w:p>
          <w:p w14:paraId="6977FCA9" w14:textId="77777777" w:rsidR="001B2F93" w:rsidRPr="00B10694" w:rsidRDefault="001B2F93" w:rsidP="001414F5">
            <w:pPr>
              <w:ind w:left="720"/>
              <w:contextualSpacing/>
              <w:jc w:val="both"/>
              <w:rPr>
                <w:rFonts w:eastAsia="Calibri"/>
                <w:sz w:val="20"/>
                <w:szCs w:val="20"/>
              </w:rPr>
            </w:pPr>
          </w:p>
          <w:p w14:paraId="3B24C513" w14:textId="77777777" w:rsidR="001B2F93" w:rsidRPr="00B10694" w:rsidRDefault="001B2F93" w:rsidP="001414F5">
            <w:pPr>
              <w:ind w:left="720"/>
              <w:contextualSpacing/>
              <w:jc w:val="both"/>
              <w:rPr>
                <w:rFonts w:eastAsia="Calibri"/>
                <w:sz w:val="20"/>
                <w:szCs w:val="20"/>
              </w:rPr>
            </w:pPr>
          </w:p>
          <w:p w14:paraId="0CA9300A" w14:textId="77777777" w:rsidR="001B2F93" w:rsidRPr="00B10694" w:rsidRDefault="001B2F93" w:rsidP="001414F5">
            <w:pPr>
              <w:ind w:left="720"/>
              <w:contextualSpacing/>
              <w:jc w:val="both"/>
              <w:rPr>
                <w:rFonts w:eastAsia="Calibri"/>
                <w:sz w:val="20"/>
                <w:szCs w:val="20"/>
              </w:rPr>
            </w:pPr>
          </w:p>
          <w:p w14:paraId="51A4A3B5" w14:textId="77777777" w:rsidR="001B2F93" w:rsidRPr="00B10694" w:rsidRDefault="001B2F93" w:rsidP="001414F5">
            <w:pPr>
              <w:ind w:left="720"/>
              <w:contextualSpacing/>
              <w:jc w:val="both"/>
              <w:rPr>
                <w:rFonts w:eastAsia="Calibri"/>
                <w:sz w:val="20"/>
                <w:szCs w:val="20"/>
              </w:rPr>
            </w:pPr>
          </w:p>
          <w:p w14:paraId="342939CF" w14:textId="77777777" w:rsidR="001B2F93" w:rsidRPr="00B10694" w:rsidRDefault="001B2F93" w:rsidP="001414F5">
            <w:pPr>
              <w:ind w:left="720"/>
              <w:contextualSpacing/>
              <w:jc w:val="both"/>
              <w:rPr>
                <w:rFonts w:eastAsia="Calibri"/>
                <w:sz w:val="20"/>
                <w:szCs w:val="20"/>
              </w:rPr>
            </w:pPr>
          </w:p>
          <w:p w14:paraId="2C9B98FC" w14:textId="77777777" w:rsidR="001B2F93" w:rsidRPr="00B10694" w:rsidRDefault="001B2F93" w:rsidP="001414F5">
            <w:pPr>
              <w:ind w:left="720"/>
              <w:contextualSpacing/>
              <w:jc w:val="both"/>
              <w:rPr>
                <w:rFonts w:eastAsia="Calibri"/>
                <w:sz w:val="20"/>
                <w:szCs w:val="20"/>
              </w:rPr>
            </w:pPr>
          </w:p>
          <w:p w14:paraId="6848CCC4" w14:textId="77777777" w:rsidR="001B2F93" w:rsidRPr="00B10694" w:rsidRDefault="001B2F93" w:rsidP="001414F5">
            <w:pPr>
              <w:ind w:left="720"/>
              <w:contextualSpacing/>
              <w:jc w:val="both"/>
              <w:rPr>
                <w:rFonts w:eastAsia="Calibri"/>
                <w:sz w:val="20"/>
                <w:szCs w:val="20"/>
              </w:rPr>
            </w:pPr>
          </w:p>
          <w:p w14:paraId="4BE47782" w14:textId="77777777" w:rsidR="001B2F93" w:rsidRPr="00B10694" w:rsidRDefault="001B2F93" w:rsidP="001414F5">
            <w:pPr>
              <w:ind w:left="720"/>
              <w:contextualSpacing/>
              <w:jc w:val="both"/>
              <w:rPr>
                <w:rFonts w:eastAsia="Calibri"/>
                <w:sz w:val="20"/>
                <w:szCs w:val="20"/>
              </w:rPr>
            </w:pPr>
          </w:p>
          <w:p w14:paraId="16C99D2E" w14:textId="77777777" w:rsidR="001B2F93" w:rsidRPr="00B10694" w:rsidRDefault="001B2F93" w:rsidP="001414F5">
            <w:pPr>
              <w:ind w:left="720"/>
              <w:contextualSpacing/>
              <w:jc w:val="both"/>
              <w:rPr>
                <w:rFonts w:eastAsia="Calibri"/>
                <w:sz w:val="20"/>
                <w:szCs w:val="20"/>
              </w:rPr>
            </w:pPr>
          </w:p>
          <w:p w14:paraId="4F9FB737" w14:textId="77777777" w:rsidR="001B2F93" w:rsidRPr="00B10694" w:rsidRDefault="001B2F93" w:rsidP="001414F5">
            <w:pPr>
              <w:ind w:left="720"/>
              <w:contextualSpacing/>
              <w:jc w:val="both"/>
              <w:rPr>
                <w:rFonts w:eastAsia="Calibri"/>
                <w:sz w:val="20"/>
                <w:szCs w:val="20"/>
              </w:rPr>
            </w:pPr>
          </w:p>
          <w:p w14:paraId="3D449A17" w14:textId="77777777" w:rsidR="001B2F93" w:rsidRPr="00B10694" w:rsidRDefault="001B2F93" w:rsidP="001414F5">
            <w:pPr>
              <w:ind w:left="720"/>
              <w:contextualSpacing/>
              <w:jc w:val="both"/>
              <w:rPr>
                <w:rFonts w:eastAsia="Calibri"/>
                <w:sz w:val="20"/>
                <w:szCs w:val="20"/>
              </w:rPr>
            </w:pPr>
          </w:p>
          <w:p w14:paraId="0BD8276B" w14:textId="77777777" w:rsidR="001B2F93" w:rsidRPr="00B10694" w:rsidRDefault="001B2F93" w:rsidP="001414F5">
            <w:pPr>
              <w:ind w:left="720"/>
              <w:contextualSpacing/>
              <w:jc w:val="both"/>
              <w:rPr>
                <w:rFonts w:eastAsia="Calibri"/>
                <w:sz w:val="20"/>
                <w:szCs w:val="20"/>
              </w:rPr>
            </w:pPr>
          </w:p>
          <w:p w14:paraId="7E6CFD26" w14:textId="77777777" w:rsidR="001B2F93" w:rsidRPr="00B10694" w:rsidRDefault="001B2F93" w:rsidP="001414F5">
            <w:pPr>
              <w:ind w:left="720"/>
              <w:contextualSpacing/>
              <w:jc w:val="both"/>
              <w:rPr>
                <w:rFonts w:eastAsia="Calibri"/>
                <w:sz w:val="20"/>
                <w:szCs w:val="20"/>
              </w:rPr>
            </w:pPr>
          </w:p>
          <w:p w14:paraId="36388D5F" w14:textId="77777777" w:rsidR="001B2F93" w:rsidRPr="00B10694" w:rsidRDefault="001B2F93" w:rsidP="001414F5">
            <w:pPr>
              <w:ind w:left="720"/>
              <w:contextualSpacing/>
              <w:jc w:val="both"/>
              <w:rPr>
                <w:rFonts w:eastAsia="Calibri"/>
                <w:sz w:val="20"/>
                <w:szCs w:val="20"/>
              </w:rPr>
            </w:pPr>
          </w:p>
          <w:p w14:paraId="32944503" w14:textId="77777777" w:rsidR="001B2F93" w:rsidRPr="00B10694" w:rsidRDefault="001B2F93" w:rsidP="001414F5">
            <w:pPr>
              <w:ind w:left="720"/>
              <w:contextualSpacing/>
              <w:jc w:val="both"/>
              <w:rPr>
                <w:rFonts w:eastAsia="Calibri"/>
                <w:sz w:val="20"/>
                <w:szCs w:val="20"/>
              </w:rPr>
            </w:pPr>
          </w:p>
          <w:p w14:paraId="7D285336" w14:textId="77777777" w:rsidR="001B2F93" w:rsidRPr="00B10694" w:rsidRDefault="001B2F93" w:rsidP="001414F5">
            <w:pPr>
              <w:ind w:left="720"/>
              <w:contextualSpacing/>
              <w:jc w:val="both"/>
              <w:rPr>
                <w:rFonts w:eastAsia="Calibri"/>
                <w:sz w:val="20"/>
                <w:szCs w:val="20"/>
              </w:rPr>
            </w:pPr>
          </w:p>
          <w:p w14:paraId="0F0D37A1" w14:textId="77777777" w:rsidR="001B2F93" w:rsidRPr="00B10694" w:rsidRDefault="001B2F93" w:rsidP="001414F5">
            <w:pPr>
              <w:ind w:left="720"/>
              <w:contextualSpacing/>
              <w:jc w:val="both"/>
              <w:rPr>
                <w:rFonts w:eastAsia="Calibri"/>
                <w:sz w:val="20"/>
                <w:szCs w:val="20"/>
              </w:rPr>
            </w:pPr>
          </w:p>
          <w:p w14:paraId="091BDC74" w14:textId="77777777" w:rsidR="001B2F93" w:rsidRPr="00B10694" w:rsidRDefault="001B2F93" w:rsidP="001414F5">
            <w:pPr>
              <w:ind w:left="720"/>
              <w:contextualSpacing/>
              <w:jc w:val="both"/>
              <w:rPr>
                <w:rFonts w:eastAsia="Calibri"/>
                <w:sz w:val="20"/>
                <w:szCs w:val="20"/>
              </w:rPr>
            </w:pPr>
          </w:p>
          <w:p w14:paraId="0CE51421" w14:textId="77777777" w:rsidR="001B2F93" w:rsidRPr="00B10694" w:rsidRDefault="001B2F93" w:rsidP="001414F5">
            <w:pPr>
              <w:ind w:left="720"/>
              <w:contextualSpacing/>
              <w:jc w:val="both"/>
              <w:rPr>
                <w:rFonts w:eastAsia="Calibri"/>
                <w:sz w:val="20"/>
                <w:szCs w:val="20"/>
              </w:rPr>
            </w:pPr>
          </w:p>
          <w:p w14:paraId="4B41DC20" w14:textId="77777777" w:rsidR="001B2F93" w:rsidRPr="00B10694" w:rsidRDefault="001B2F93" w:rsidP="001414F5">
            <w:pPr>
              <w:ind w:left="720"/>
              <w:contextualSpacing/>
              <w:jc w:val="both"/>
              <w:rPr>
                <w:rFonts w:eastAsia="Calibri"/>
                <w:sz w:val="20"/>
                <w:szCs w:val="20"/>
              </w:rPr>
            </w:pPr>
          </w:p>
          <w:p w14:paraId="38A6A2EC" w14:textId="77777777" w:rsidR="001B2F93" w:rsidRPr="00B10694" w:rsidRDefault="001B2F93" w:rsidP="001414F5">
            <w:pPr>
              <w:ind w:left="720"/>
              <w:contextualSpacing/>
              <w:jc w:val="both"/>
              <w:rPr>
                <w:rFonts w:eastAsia="Calibri"/>
                <w:sz w:val="20"/>
                <w:szCs w:val="20"/>
              </w:rPr>
            </w:pPr>
          </w:p>
          <w:p w14:paraId="6BC515C4" w14:textId="77777777" w:rsidR="001B2F93" w:rsidRPr="00B10694" w:rsidRDefault="001B2F93" w:rsidP="001414F5">
            <w:pPr>
              <w:ind w:left="720"/>
              <w:contextualSpacing/>
              <w:jc w:val="both"/>
              <w:rPr>
                <w:rFonts w:eastAsia="Calibri"/>
                <w:sz w:val="20"/>
                <w:szCs w:val="20"/>
              </w:rPr>
            </w:pPr>
          </w:p>
          <w:p w14:paraId="02E0FED6" w14:textId="77777777" w:rsidR="001B2F93" w:rsidRPr="00B10694" w:rsidRDefault="001B2F93" w:rsidP="001414F5">
            <w:pPr>
              <w:ind w:left="720"/>
              <w:contextualSpacing/>
              <w:jc w:val="both"/>
              <w:rPr>
                <w:rFonts w:eastAsia="Calibri"/>
                <w:sz w:val="20"/>
                <w:szCs w:val="20"/>
              </w:rPr>
            </w:pPr>
          </w:p>
          <w:p w14:paraId="0C9D0A52" w14:textId="77777777" w:rsidR="001B2F93" w:rsidRPr="00B10694" w:rsidRDefault="001B2F93" w:rsidP="001414F5">
            <w:pPr>
              <w:ind w:left="720"/>
              <w:contextualSpacing/>
              <w:jc w:val="both"/>
              <w:rPr>
                <w:rFonts w:eastAsia="Calibri"/>
                <w:sz w:val="20"/>
                <w:szCs w:val="20"/>
              </w:rPr>
            </w:pPr>
          </w:p>
          <w:p w14:paraId="7FA1B691" w14:textId="77777777" w:rsidR="001B2F93" w:rsidRPr="00B10694" w:rsidRDefault="001B2F93" w:rsidP="001414F5">
            <w:pPr>
              <w:ind w:left="720"/>
              <w:contextualSpacing/>
              <w:jc w:val="both"/>
              <w:rPr>
                <w:rFonts w:eastAsia="Calibri"/>
                <w:sz w:val="20"/>
                <w:szCs w:val="20"/>
              </w:rPr>
            </w:pPr>
          </w:p>
          <w:p w14:paraId="79E5D425" w14:textId="77777777" w:rsidR="001B2F93" w:rsidRPr="00B10694" w:rsidRDefault="001B2F93" w:rsidP="001414F5">
            <w:pPr>
              <w:ind w:left="720"/>
              <w:contextualSpacing/>
              <w:jc w:val="both"/>
              <w:rPr>
                <w:rFonts w:eastAsia="Calibri"/>
                <w:sz w:val="20"/>
                <w:szCs w:val="20"/>
              </w:rPr>
            </w:pPr>
          </w:p>
          <w:p w14:paraId="01088DB3" w14:textId="77777777" w:rsidR="001B2F93" w:rsidRPr="00B10694" w:rsidRDefault="001B2F93" w:rsidP="001414F5">
            <w:pPr>
              <w:ind w:left="720"/>
              <w:contextualSpacing/>
              <w:jc w:val="both"/>
              <w:rPr>
                <w:rFonts w:eastAsia="Calibri"/>
                <w:sz w:val="20"/>
                <w:szCs w:val="20"/>
              </w:rPr>
            </w:pPr>
          </w:p>
          <w:p w14:paraId="4030C20D" w14:textId="77777777" w:rsidR="001B2F93" w:rsidRPr="00B10694" w:rsidRDefault="001B2F93" w:rsidP="001414F5">
            <w:pPr>
              <w:ind w:left="720"/>
              <w:contextualSpacing/>
              <w:jc w:val="both"/>
              <w:rPr>
                <w:rFonts w:eastAsia="Calibri"/>
                <w:sz w:val="20"/>
                <w:szCs w:val="20"/>
              </w:rPr>
            </w:pPr>
          </w:p>
          <w:p w14:paraId="29914524" w14:textId="77777777" w:rsidR="001B2F93" w:rsidRPr="00B10694" w:rsidRDefault="001B2F93" w:rsidP="001414F5">
            <w:pPr>
              <w:ind w:left="720"/>
              <w:contextualSpacing/>
              <w:jc w:val="both"/>
              <w:rPr>
                <w:rFonts w:eastAsia="Calibri"/>
                <w:sz w:val="20"/>
                <w:szCs w:val="20"/>
              </w:rPr>
            </w:pPr>
          </w:p>
          <w:p w14:paraId="451641E8" w14:textId="77777777" w:rsidR="001B2F93" w:rsidRPr="00B10694" w:rsidRDefault="001B2F93" w:rsidP="001414F5">
            <w:pPr>
              <w:ind w:left="720"/>
              <w:contextualSpacing/>
              <w:jc w:val="both"/>
              <w:rPr>
                <w:rFonts w:eastAsia="Calibri"/>
                <w:sz w:val="20"/>
                <w:szCs w:val="20"/>
              </w:rPr>
            </w:pPr>
          </w:p>
          <w:p w14:paraId="01EB343B" w14:textId="77777777" w:rsidR="001B2F93" w:rsidRPr="00B10694" w:rsidRDefault="001B2F93" w:rsidP="001414F5">
            <w:pPr>
              <w:ind w:left="720"/>
              <w:contextualSpacing/>
              <w:jc w:val="both"/>
              <w:rPr>
                <w:rFonts w:eastAsia="Calibri"/>
                <w:sz w:val="20"/>
                <w:szCs w:val="20"/>
              </w:rPr>
            </w:pPr>
          </w:p>
          <w:p w14:paraId="373F71D5" w14:textId="77777777" w:rsidR="001B2F93" w:rsidRPr="00B10694" w:rsidRDefault="001B2F93" w:rsidP="001414F5">
            <w:pPr>
              <w:ind w:left="720"/>
              <w:contextualSpacing/>
              <w:jc w:val="both"/>
              <w:rPr>
                <w:rFonts w:eastAsia="Calibri"/>
                <w:sz w:val="20"/>
                <w:szCs w:val="20"/>
              </w:rPr>
            </w:pPr>
          </w:p>
          <w:p w14:paraId="17FECD47" w14:textId="77777777" w:rsidR="001B2F93" w:rsidRPr="00B10694" w:rsidRDefault="001B2F93" w:rsidP="001414F5">
            <w:pPr>
              <w:ind w:left="720"/>
              <w:contextualSpacing/>
              <w:jc w:val="both"/>
              <w:rPr>
                <w:rFonts w:eastAsia="Calibri"/>
                <w:sz w:val="20"/>
                <w:szCs w:val="20"/>
              </w:rPr>
            </w:pPr>
          </w:p>
          <w:p w14:paraId="2515DF8E" w14:textId="77777777" w:rsidR="001B2F93" w:rsidRPr="00B10694" w:rsidRDefault="001B2F93" w:rsidP="001414F5">
            <w:pPr>
              <w:ind w:left="720"/>
              <w:contextualSpacing/>
              <w:jc w:val="both"/>
              <w:rPr>
                <w:rFonts w:eastAsia="Calibri"/>
                <w:sz w:val="20"/>
                <w:szCs w:val="20"/>
              </w:rPr>
            </w:pPr>
          </w:p>
          <w:p w14:paraId="532E1E5B" w14:textId="77777777" w:rsidR="001B2F93" w:rsidRPr="00B10694" w:rsidRDefault="001B2F93" w:rsidP="001414F5">
            <w:pPr>
              <w:ind w:left="720"/>
              <w:contextualSpacing/>
              <w:jc w:val="both"/>
              <w:rPr>
                <w:rFonts w:eastAsia="Calibri"/>
                <w:sz w:val="20"/>
                <w:szCs w:val="20"/>
              </w:rPr>
            </w:pPr>
          </w:p>
          <w:p w14:paraId="2B4F65BF" w14:textId="77777777" w:rsidR="001B2F93" w:rsidRPr="00B10694" w:rsidRDefault="001B2F93" w:rsidP="001414F5">
            <w:pPr>
              <w:ind w:left="720"/>
              <w:contextualSpacing/>
              <w:jc w:val="both"/>
              <w:rPr>
                <w:rFonts w:eastAsia="Calibri"/>
                <w:sz w:val="20"/>
                <w:szCs w:val="20"/>
              </w:rPr>
            </w:pPr>
          </w:p>
          <w:p w14:paraId="1FFF1E50" w14:textId="77777777" w:rsidR="001B2F93" w:rsidRPr="00B10694" w:rsidRDefault="001B2F93" w:rsidP="001414F5">
            <w:pPr>
              <w:ind w:left="720"/>
              <w:contextualSpacing/>
              <w:jc w:val="both"/>
              <w:rPr>
                <w:rFonts w:eastAsia="Calibri"/>
                <w:sz w:val="20"/>
                <w:szCs w:val="20"/>
              </w:rPr>
            </w:pPr>
          </w:p>
          <w:p w14:paraId="193AB94F" w14:textId="77777777" w:rsidR="001B2F93" w:rsidRPr="00B10694" w:rsidRDefault="001B2F93" w:rsidP="001414F5">
            <w:pPr>
              <w:ind w:left="720"/>
              <w:contextualSpacing/>
              <w:jc w:val="both"/>
              <w:rPr>
                <w:rFonts w:eastAsia="Calibri"/>
                <w:sz w:val="20"/>
                <w:szCs w:val="20"/>
              </w:rPr>
            </w:pPr>
          </w:p>
          <w:p w14:paraId="7CE3C1CB" w14:textId="77777777" w:rsidR="001B2F93" w:rsidRPr="00B10694" w:rsidRDefault="001B2F93" w:rsidP="001414F5">
            <w:pPr>
              <w:ind w:left="720"/>
              <w:contextualSpacing/>
              <w:jc w:val="both"/>
              <w:rPr>
                <w:rFonts w:eastAsia="Calibri"/>
                <w:sz w:val="20"/>
                <w:szCs w:val="20"/>
              </w:rPr>
            </w:pPr>
          </w:p>
          <w:p w14:paraId="488E8E7E" w14:textId="77777777" w:rsidR="001B2F93" w:rsidRPr="00B10694" w:rsidRDefault="001B2F93" w:rsidP="001414F5">
            <w:pPr>
              <w:ind w:left="720"/>
              <w:contextualSpacing/>
              <w:jc w:val="both"/>
              <w:rPr>
                <w:rFonts w:eastAsia="Calibri"/>
                <w:sz w:val="20"/>
                <w:szCs w:val="20"/>
              </w:rPr>
            </w:pPr>
          </w:p>
          <w:p w14:paraId="1FFD5A75" w14:textId="77777777" w:rsidR="001B2F93" w:rsidRPr="00B10694" w:rsidRDefault="001B2F93" w:rsidP="001414F5">
            <w:pPr>
              <w:ind w:left="720"/>
              <w:contextualSpacing/>
              <w:jc w:val="both"/>
              <w:rPr>
                <w:rFonts w:eastAsia="Calibri"/>
                <w:sz w:val="20"/>
                <w:szCs w:val="20"/>
              </w:rPr>
            </w:pPr>
          </w:p>
          <w:p w14:paraId="5583F672" w14:textId="77777777" w:rsidR="001B2F93" w:rsidRPr="00B10694" w:rsidRDefault="001B2F93" w:rsidP="001414F5">
            <w:pPr>
              <w:ind w:left="720"/>
              <w:contextualSpacing/>
              <w:jc w:val="both"/>
              <w:rPr>
                <w:rFonts w:eastAsia="Calibri"/>
                <w:sz w:val="20"/>
                <w:szCs w:val="20"/>
              </w:rPr>
            </w:pPr>
          </w:p>
          <w:p w14:paraId="4292593E" w14:textId="77777777" w:rsidR="001B2F93" w:rsidRPr="00B10694" w:rsidRDefault="001B2F93" w:rsidP="001414F5">
            <w:pPr>
              <w:ind w:left="720"/>
              <w:contextualSpacing/>
              <w:jc w:val="both"/>
              <w:rPr>
                <w:rFonts w:eastAsia="Calibri"/>
                <w:sz w:val="20"/>
                <w:szCs w:val="20"/>
              </w:rPr>
            </w:pPr>
          </w:p>
          <w:p w14:paraId="03767399" w14:textId="77777777" w:rsidR="001B2F93" w:rsidRPr="00B10694" w:rsidRDefault="001B2F93" w:rsidP="001414F5">
            <w:pPr>
              <w:ind w:left="720"/>
              <w:contextualSpacing/>
              <w:jc w:val="both"/>
              <w:rPr>
                <w:rFonts w:eastAsia="Calibri"/>
                <w:sz w:val="20"/>
                <w:szCs w:val="20"/>
              </w:rPr>
            </w:pPr>
          </w:p>
          <w:p w14:paraId="723D606A" w14:textId="77777777" w:rsidR="001B2F93" w:rsidRPr="00B10694" w:rsidRDefault="001B2F93" w:rsidP="001414F5">
            <w:pPr>
              <w:ind w:left="720"/>
              <w:contextualSpacing/>
              <w:jc w:val="both"/>
              <w:rPr>
                <w:rFonts w:eastAsia="Calibri"/>
                <w:sz w:val="20"/>
                <w:szCs w:val="20"/>
              </w:rPr>
            </w:pPr>
          </w:p>
          <w:p w14:paraId="37A8A650" w14:textId="77777777" w:rsidR="001B2F93" w:rsidRPr="00B10694" w:rsidRDefault="001B2F93" w:rsidP="001414F5">
            <w:pPr>
              <w:ind w:left="720"/>
              <w:contextualSpacing/>
              <w:jc w:val="both"/>
              <w:rPr>
                <w:rFonts w:eastAsia="Calibri"/>
                <w:sz w:val="20"/>
                <w:szCs w:val="20"/>
              </w:rPr>
            </w:pPr>
          </w:p>
          <w:p w14:paraId="5C0122CD" w14:textId="77777777" w:rsidR="001B2F93" w:rsidRPr="00B10694" w:rsidRDefault="001B2F93" w:rsidP="001414F5">
            <w:pPr>
              <w:ind w:left="720"/>
              <w:contextualSpacing/>
              <w:jc w:val="both"/>
              <w:rPr>
                <w:rFonts w:eastAsia="Calibri"/>
                <w:sz w:val="20"/>
                <w:szCs w:val="20"/>
              </w:rPr>
            </w:pPr>
          </w:p>
          <w:p w14:paraId="32A10736" w14:textId="77777777" w:rsidR="001B2F93" w:rsidRPr="00B10694" w:rsidRDefault="001B2F93" w:rsidP="001414F5">
            <w:pPr>
              <w:ind w:left="720"/>
              <w:contextualSpacing/>
              <w:jc w:val="both"/>
              <w:rPr>
                <w:rFonts w:eastAsia="Calibri"/>
                <w:sz w:val="20"/>
                <w:szCs w:val="20"/>
              </w:rPr>
            </w:pPr>
          </w:p>
          <w:p w14:paraId="669E7C4E" w14:textId="77777777" w:rsidR="001B2F93" w:rsidRPr="00B10694" w:rsidRDefault="001B2F93" w:rsidP="001414F5">
            <w:pPr>
              <w:ind w:left="720"/>
              <w:contextualSpacing/>
              <w:jc w:val="both"/>
              <w:rPr>
                <w:rFonts w:eastAsia="Calibri"/>
                <w:sz w:val="20"/>
                <w:szCs w:val="20"/>
              </w:rPr>
            </w:pPr>
          </w:p>
          <w:p w14:paraId="6913A66F" w14:textId="77777777" w:rsidR="001B2F93" w:rsidRPr="00B10694" w:rsidRDefault="001B2F93" w:rsidP="001414F5">
            <w:pPr>
              <w:ind w:left="720"/>
              <w:contextualSpacing/>
              <w:jc w:val="both"/>
              <w:rPr>
                <w:rFonts w:eastAsia="Calibri"/>
                <w:sz w:val="20"/>
                <w:szCs w:val="20"/>
              </w:rPr>
            </w:pPr>
          </w:p>
          <w:p w14:paraId="31E4D1F5" w14:textId="77777777" w:rsidR="001B2F93" w:rsidRPr="00B10694" w:rsidRDefault="001B2F93" w:rsidP="001414F5">
            <w:pPr>
              <w:ind w:left="720"/>
              <w:contextualSpacing/>
              <w:jc w:val="both"/>
              <w:rPr>
                <w:rFonts w:eastAsia="Calibri"/>
                <w:sz w:val="20"/>
                <w:szCs w:val="20"/>
              </w:rPr>
            </w:pPr>
          </w:p>
          <w:p w14:paraId="3257717B" w14:textId="77777777" w:rsidR="001B2F93" w:rsidRPr="00B10694" w:rsidRDefault="001B2F93" w:rsidP="001414F5">
            <w:pPr>
              <w:ind w:left="720"/>
              <w:contextualSpacing/>
              <w:jc w:val="both"/>
              <w:rPr>
                <w:rFonts w:eastAsia="Calibri"/>
                <w:sz w:val="20"/>
                <w:szCs w:val="20"/>
              </w:rPr>
            </w:pPr>
          </w:p>
          <w:p w14:paraId="5FA94E7A" w14:textId="77777777" w:rsidR="001B2F93" w:rsidRPr="00B10694" w:rsidRDefault="001B2F93" w:rsidP="001414F5">
            <w:pPr>
              <w:ind w:left="720"/>
              <w:contextualSpacing/>
              <w:jc w:val="both"/>
              <w:rPr>
                <w:rFonts w:eastAsia="Calibri"/>
                <w:sz w:val="20"/>
                <w:szCs w:val="20"/>
              </w:rPr>
            </w:pPr>
          </w:p>
          <w:p w14:paraId="7D349381" w14:textId="77777777" w:rsidR="001B2F93" w:rsidRPr="00B10694" w:rsidRDefault="001B2F93" w:rsidP="001414F5">
            <w:pPr>
              <w:ind w:left="720"/>
              <w:contextualSpacing/>
              <w:jc w:val="both"/>
              <w:rPr>
                <w:rFonts w:eastAsia="Calibri"/>
                <w:sz w:val="20"/>
                <w:szCs w:val="20"/>
              </w:rPr>
            </w:pPr>
          </w:p>
          <w:p w14:paraId="650BBF5C" w14:textId="77777777" w:rsidR="001B2F93" w:rsidRPr="00B10694" w:rsidRDefault="001B2F93" w:rsidP="001414F5">
            <w:pPr>
              <w:ind w:left="720"/>
              <w:contextualSpacing/>
              <w:jc w:val="both"/>
              <w:rPr>
                <w:rFonts w:eastAsia="Calibri"/>
                <w:sz w:val="20"/>
                <w:szCs w:val="20"/>
              </w:rPr>
            </w:pPr>
          </w:p>
          <w:p w14:paraId="0EB9243C" w14:textId="77777777" w:rsidR="001B2F93" w:rsidRPr="00B10694" w:rsidRDefault="001B2F93" w:rsidP="001414F5">
            <w:pPr>
              <w:ind w:left="720"/>
              <w:contextualSpacing/>
              <w:jc w:val="both"/>
              <w:rPr>
                <w:rFonts w:eastAsia="Calibri"/>
                <w:sz w:val="20"/>
                <w:szCs w:val="20"/>
              </w:rPr>
            </w:pPr>
          </w:p>
          <w:p w14:paraId="6FAFD647" w14:textId="77777777" w:rsidR="001B2F93" w:rsidRPr="00B10694" w:rsidRDefault="001B2F93" w:rsidP="001414F5">
            <w:pPr>
              <w:ind w:left="720"/>
              <w:contextualSpacing/>
              <w:jc w:val="both"/>
              <w:rPr>
                <w:rFonts w:eastAsia="Calibri"/>
                <w:sz w:val="20"/>
                <w:szCs w:val="20"/>
              </w:rPr>
            </w:pPr>
          </w:p>
          <w:p w14:paraId="47BC62BF" w14:textId="77777777" w:rsidR="001B2F93" w:rsidRPr="00B10694" w:rsidRDefault="001B2F93" w:rsidP="001414F5">
            <w:pPr>
              <w:ind w:left="720"/>
              <w:contextualSpacing/>
              <w:jc w:val="both"/>
              <w:rPr>
                <w:rFonts w:eastAsia="Calibri"/>
                <w:sz w:val="20"/>
                <w:szCs w:val="20"/>
              </w:rPr>
            </w:pPr>
          </w:p>
          <w:p w14:paraId="21250418" w14:textId="77777777" w:rsidR="001B2F93" w:rsidRPr="00B10694" w:rsidRDefault="001B2F93" w:rsidP="001414F5">
            <w:pPr>
              <w:ind w:left="720"/>
              <w:contextualSpacing/>
              <w:jc w:val="both"/>
              <w:rPr>
                <w:rFonts w:eastAsia="Calibri"/>
                <w:sz w:val="20"/>
                <w:szCs w:val="20"/>
              </w:rPr>
            </w:pPr>
          </w:p>
          <w:p w14:paraId="241AC3DE" w14:textId="77777777" w:rsidR="001B2F93" w:rsidRPr="00B10694" w:rsidRDefault="001B2F93" w:rsidP="001414F5">
            <w:pPr>
              <w:ind w:left="720"/>
              <w:contextualSpacing/>
              <w:jc w:val="both"/>
              <w:rPr>
                <w:rFonts w:eastAsia="Calibri"/>
                <w:sz w:val="20"/>
                <w:szCs w:val="20"/>
              </w:rPr>
            </w:pPr>
          </w:p>
          <w:p w14:paraId="4D188CEB" w14:textId="77777777" w:rsidR="004B09D3" w:rsidRDefault="004B09D3" w:rsidP="001414F5">
            <w:pPr>
              <w:contextualSpacing/>
              <w:jc w:val="both"/>
              <w:rPr>
                <w:rFonts w:eastAsia="Calibri"/>
                <w:sz w:val="20"/>
                <w:szCs w:val="20"/>
              </w:rPr>
            </w:pPr>
          </w:p>
          <w:p w14:paraId="38A1EE93" w14:textId="77777777" w:rsidR="004B09D3" w:rsidRDefault="004B09D3" w:rsidP="001414F5">
            <w:pPr>
              <w:contextualSpacing/>
              <w:jc w:val="both"/>
              <w:rPr>
                <w:rFonts w:eastAsia="Calibri"/>
                <w:sz w:val="20"/>
                <w:szCs w:val="20"/>
              </w:rPr>
            </w:pPr>
          </w:p>
          <w:p w14:paraId="3B1E4A65" w14:textId="77777777" w:rsidR="004B09D3" w:rsidRDefault="004B09D3" w:rsidP="001414F5">
            <w:pPr>
              <w:contextualSpacing/>
              <w:jc w:val="both"/>
              <w:rPr>
                <w:rFonts w:eastAsia="Calibri"/>
                <w:sz w:val="20"/>
                <w:szCs w:val="20"/>
              </w:rPr>
            </w:pPr>
          </w:p>
          <w:p w14:paraId="156663E3" w14:textId="77777777" w:rsidR="004B09D3" w:rsidRDefault="004B09D3" w:rsidP="001414F5">
            <w:pPr>
              <w:contextualSpacing/>
              <w:jc w:val="both"/>
              <w:rPr>
                <w:rFonts w:eastAsia="Calibri"/>
                <w:sz w:val="20"/>
                <w:szCs w:val="20"/>
              </w:rPr>
            </w:pPr>
          </w:p>
          <w:p w14:paraId="2EF02124" w14:textId="77777777" w:rsidR="004B09D3" w:rsidRDefault="004B09D3" w:rsidP="001414F5">
            <w:pPr>
              <w:contextualSpacing/>
              <w:jc w:val="both"/>
              <w:rPr>
                <w:rFonts w:eastAsia="Calibri"/>
                <w:sz w:val="20"/>
                <w:szCs w:val="20"/>
              </w:rPr>
            </w:pPr>
          </w:p>
          <w:p w14:paraId="680556E0" w14:textId="77777777" w:rsidR="004B09D3" w:rsidRDefault="004B09D3" w:rsidP="001414F5">
            <w:pPr>
              <w:contextualSpacing/>
              <w:jc w:val="both"/>
              <w:rPr>
                <w:rFonts w:eastAsia="Calibri"/>
                <w:sz w:val="20"/>
                <w:szCs w:val="20"/>
              </w:rPr>
            </w:pPr>
          </w:p>
          <w:p w14:paraId="2B61D104" w14:textId="77777777" w:rsidR="004B09D3" w:rsidRDefault="004B09D3" w:rsidP="001414F5">
            <w:pPr>
              <w:contextualSpacing/>
              <w:jc w:val="both"/>
              <w:rPr>
                <w:rFonts w:eastAsia="Calibri"/>
                <w:sz w:val="20"/>
                <w:szCs w:val="20"/>
              </w:rPr>
            </w:pPr>
          </w:p>
          <w:p w14:paraId="230A5BB9" w14:textId="77777777" w:rsidR="004B09D3" w:rsidRDefault="004B09D3" w:rsidP="001414F5">
            <w:pPr>
              <w:contextualSpacing/>
              <w:jc w:val="both"/>
              <w:rPr>
                <w:rFonts w:eastAsia="Calibri"/>
                <w:sz w:val="20"/>
                <w:szCs w:val="20"/>
              </w:rPr>
            </w:pPr>
          </w:p>
          <w:p w14:paraId="09C3B0FF" w14:textId="77777777" w:rsidR="004B09D3" w:rsidRDefault="004B09D3" w:rsidP="001414F5">
            <w:pPr>
              <w:contextualSpacing/>
              <w:jc w:val="both"/>
              <w:rPr>
                <w:rFonts w:eastAsia="Calibri"/>
                <w:sz w:val="20"/>
                <w:szCs w:val="20"/>
              </w:rPr>
            </w:pPr>
          </w:p>
          <w:p w14:paraId="7D464EB2" w14:textId="77777777" w:rsidR="004B09D3" w:rsidRDefault="004B09D3" w:rsidP="001414F5">
            <w:pPr>
              <w:contextualSpacing/>
              <w:jc w:val="both"/>
              <w:rPr>
                <w:rFonts w:eastAsia="Calibri"/>
                <w:sz w:val="20"/>
                <w:szCs w:val="20"/>
              </w:rPr>
            </w:pPr>
          </w:p>
          <w:p w14:paraId="53EB5952" w14:textId="77777777" w:rsidR="004B09D3" w:rsidRDefault="004B09D3" w:rsidP="001414F5">
            <w:pPr>
              <w:contextualSpacing/>
              <w:jc w:val="both"/>
              <w:rPr>
                <w:rFonts w:eastAsia="Calibri"/>
                <w:sz w:val="20"/>
                <w:szCs w:val="20"/>
              </w:rPr>
            </w:pPr>
          </w:p>
          <w:p w14:paraId="3AABA203" w14:textId="77777777" w:rsidR="004B09D3" w:rsidRDefault="004B09D3" w:rsidP="001414F5">
            <w:pPr>
              <w:contextualSpacing/>
              <w:jc w:val="both"/>
              <w:rPr>
                <w:rFonts w:eastAsia="Calibri"/>
                <w:sz w:val="20"/>
                <w:szCs w:val="20"/>
              </w:rPr>
            </w:pPr>
          </w:p>
          <w:p w14:paraId="0EEE1B86" w14:textId="77777777" w:rsidR="004B09D3" w:rsidRDefault="004B09D3" w:rsidP="001414F5">
            <w:pPr>
              <w:contextualSpacing/>
              <w:jc w:val="both"/>
              <w:rPr>
                <w:rFonts w:eastAsia="Calibri"/>
                <w:sz w:val="20"/>
                <w:szCs w:val="20"/>
              </w:rPr>
            </w:pPr>
          </w:p>
          <w:p w14:paraId="7AB05528" w14:textId="77777777" w:rsidR="004B09D3" w:rsidRDefault="004B09D3" w:rsidP="001414F5">
            <w:pPr>
              <w:contextualSpacing/>
              <w:jc w:val="both"/>
              <w:rPr>
                <w:rFonts w:eastAsia="Calibri"/>
                <w:sz w:val="20"/>
                <w:szCs w:val="20"/>
              </w:rPr>
            </w:pPr>
          </w:p>
          <w:p w14:paraId="32754FC5" w14:textId="77777777" w:rsidR="004B09D3" w:rsidRDefault="004B09D3" w:rsidP="001414F5">
            <w:pPr>
              <w:contextualSpacing/>
              <w:jc w:val="both"/>
              <w:rPr>
                <w:rFonts w:eastAsia="Calibri"/>
                <w:sz w:val="20"/>
                <w:szCs w:val="20"/>
              </w:rPr>
            </w:pPr>
          </w:p>
          <w:p w14:paraId="6C51253D" w14:textId="77777777" w:rsidR="004B09D3" w:rsidRDefault="004B09D3" w:rsidP="001414F5">
            <w:pPr>
              <w:contextualSpacing/>
              <w:jc w:val="both"/>
              <w:rPr>
                <w:rFonts w:eastAsia="Calibri"/>
                <w:sz w:val="20"/>
                <w:szCs w:val="20"/>
              </w:rPr>
            </w:pPr>
          </w:p>
          <w:p w14:paraId="4734E89C" w14:textId="77777777" w:rsidR="004B09D3" w:rsidRDefault="004B09D3" w:rsidP="001414F5">
            <w:pPr>
              <w:contextualSpacing/>
              <w:jc w:val="both"/>
              <w:rPr>
                <w:rFonts w:eastAsia="Calibri"/>
                <w:sz w:val="20"/>
                <w:szCs w:val="20"/>
              </w:rPr>
            </w:pPr>
          </w:p>
          <w:p w14:paraId="65DD703C" w14:textId="77777777" w:rsidR="004B09D3" w:rsidRDefault="004B09D3" w:rsidP="001414F5">
            <w:pPr>
              <w:contextualSpacing/>
              <w:jc w:val="both"/>
              <w:rPr>
                <w:rFonts w:eastAsia="Calibri"/>
                <w:sz w:val="20"/>
                <w:szCs w:val="20"/>
              </w:rPr>
            </w:pPr>
          </w:p>
          <w:p w14:paraId="3AFAB6CE" w14:textId="77777777" w:rsidR="004B09D3" w:rsidRDefault="004B09D3" w:rsidP="001414F5">
            <w:pPr>
              <w:contextualSpacing/>
              <w:jc w:val="both"/>
              <w:rPr>
                <w:rFonts w:eastAsia="Calibri"/>
                <w:sz w:val="20"/>
                <w:szCs w:val="20"/>
              </w:rPr>
            </w:pPr>
          </w:p>
          <w:p w14:paraId="2605D9C0" w14:textId="77777777" w:rsidR="004B09D3" w:rsidRDefault="004B09D3" w:rsidP="001414F5">
            <w:pPr>
              <w:contextualSpacing/>
              <w:jc w:val="both"/>
              <w:rPr>
                <w:rFonts w:eastAsia="Calibri"/>
                <w:sz w:val="20"/>
                <w:szCs w:val="20"/>
              </w:rPr>
            </w:pPr>
          </w:p>
          <w:p w14:paraId="356FC728" w14:textId="77777777" w:rsidR="004B09D3" w:rsidRDefault="004B09D3" w:rsidP="001414F5">
            <w:pPr>
              <w:contextualSpacing/>
              <w:jc w:val="both"/>
              <w:rPr>
                <w:rFonts w:eastAsia="Calibri"/>
                <w:sz w:val="20"/>
                <w:szCs w:val="20"/>
              </w:rPr>
            </w:pPr>
          </w:p>
          <w:p w14:paraId="2D1FAE50" w14:textId="77777777" w:rsidR="004B09D3" w:rsidRDefault="004B09D3" w:rsidP="001414F5">
            <w:pPr>
              <w:contextualSpacing/>
              <w:jc w:val="both"/>
              <w:rPr>
                <w:rFonts w:eastAsia="Calibri"/>
                <w:sz w:val="20"/>
                <w:szCs w:val="20"/>
              </w:rPr>
            </w:pPr>
          </w:p>
          <w:p w14:paraId="416983FA" w14:textId="77777777" w:rsidR="004B09D3" w:rsidRDefault="004B09D3" w:rsidP="001414F5">
            <w:pPr>
              <w:contextualSpacing/>
              <w:jc w:val="both"/>
              <w:rPr>
                <w:rFonts w:eastAsia="Calibri"/>
                <w:sz w:val="20"/>
                <w:szCs w:val="20"/>
              </w:rPr>
            </w:pPr>
          </w:p>
          <w:p w14:paraId="71D95BB4" w14:textId="77777777" w:rsidR="004B09D3" w:rsidRDefault="004B09D3" w:rsidP="001414F5">
            <w:pPr>
              <w:contextualSpacing/>
              <w:jc w:val="both"/>
              <w:rPr>
                <w:rFonts w:eastAsia="Calibri"/>
                <w:sz w:val="20"/>
                <w:szCs w:val="20"/>
              </w:rPr>
            </w:pPr>
          </w:p>
          <w:p w14:paraId="267C97BB" w14:textId="77777777" w:rsidR="004B09D3" w:rsidRDefault="004B09D3" w:rsidP="001414F5">
            <w:pPr>
              <w:contextualSpacing/>
              <w:jc w:val="both"/>
              <w:rPr>
                <w:rFonts w:eastAsia="Calibri"/>
                <w:sz w:val="20"/>
                <w:szCs w:val="20"/>
              </w:rPr>
            </w:pPr>
          </w:p>
          <w:p w14:paraId="2C7839DB" w14:textId="7428BA0C" w:rsidR="001B2F93" w:rsidRPr="00B10694" w:rsidRDefault="001B2F93" w:rsidP="001414F5">
            <w:pPr>
              <w:contextualSpacing/>
              <w:jc w:val="both"/>
              <w:rPr>
                <w:rFonts w:eastAsia="Calibri"/>
                <w:sz w:val="20"/>
                <w:szCs w:val="20"/>
              </w:rPr>
            </w:pPr>
            <w:r w:rsidRPr="00B10694">
              <w:rPr>
                <w:rFonts w:eastAsia="Calibri"/>
                <w:sz w:val="20"/>
                <w:szCs w:val="20"/>
              </w:rPr>
              <w:t xml:space="preserve">The Mult stakeholder’s Group of the </w:t>
            </w:r>
            <w:r w:rsidR="004B09D3" w:rsidRPr="00B10694">
              <w:rPr>
                <w:rFonts w:eastAsia="Calibri"/>
                <w:sz w:val="20"/>
                <w:szCs w:val="20"/>
              </w:rPr>
              <w:t>GYEITI,</w:t>
            </w:r>
            <w:r w:rsidRPr="00B10694">
              <w:rPr>
                <w:rFonts w:eastAsia="Calibri"/>
                <w:sz w:val="20"/>
                <w:szCs w:val="20"/>
              </w:rPr>
              <w:t xml:space="preserve"> in keeping </w:t>
            </w:r>
            <w:proofErr w:type="gramStart"/>
            <w:r w:rsidRPr="00B10694">
              <w:rPr>
                <w:rFonts w:eastAsia="Calibri"/>
                <w:sz w:val="20"/>
                <w:szCs w:val="20"/>
              </w:rPr>
              <w:t>with  Requirement</w:t>
            </w:r>
            <w:proofErr w:type="gramEnd"/>
            <w:r w:rsidRPr="00B10694">
              <w:rPr>
                <w:rFonts w:eastAsia="Calibri"/>
                <w:sz w:val="20"/>
                <w:szCs w:val="20"/>
              </w:rPr>
              <w:t xml:space="preserve"> 4.8, published its annual report based on the guidelines set out. (</w:t>
            </w:r>
            <w:proofErr w:type="gramStart"/>
            <w:r w:rsidRPr="00B10694">
              <w:rPr>
                <w:rFonts w:eastAsia="Calibri"/>
                <w:sz w:val="20"/>
                <w:szCs w:val="20"/>
              </w:rPr>
              <w:t>no</w:t>
            </w:r>
            <w:proofErr w:type="gramEnd"/>
            <w:r w:rsidRPr="00B10694">
              <w:rPr>
                <w:rFonts w:eastAsia="Calibri"/>
                <w:sz w:val="20"/>
                <w:szCs w:val="20"/>
              </w:rPr>
              <w:t xml:space="preserve"> later than 2 years after.)  The latest report published in December 2025 is for   FY 23.</w:t>
            </w:r>
          </w:p>
          <w:p w14:paraId="1B505097" w14:textId="54A150E9" w:rsidR="001B2F93" w:rsidRPr="00B10694" w:rsidRDefault="001B2F93" w:rsidP="001414F5">
            <w:pPr>
              <w:contextualSpacing/>
              <w:jc w:val="both"/>
              <w:rPr>
                <w:rFonts w:eastAsia="Calibri"/>
                <w:sz w:val="20"/>
                <w:szCs w:val="20"/>
              </w:rPr>
            </w:pPr>
            <w:r w:rsidRPr="00B10694">
              <w:rPr>
                <w:rFonts w:eastAsia="Calibri"/>
                <w:sz w:val="20"/>
                <w:szCs w:val="20"/>
              </w:rPr>
              <w:lastRenderedPageBreak/>
              <w:t xml:space="preserve">The MSG of GYEITI is continuing to examine and work towards </w:t>
            </w:r>
            <w:r w:rsidR="004B09D3" w:rsidRPr="00B10694">
              <w:rPr>
                <w:rFonts w:eastAsia="Calibri"/>
                <w:sz w:val="20"/>
                <w:szCs w:val="20"/>
              </w:rPr>
              <w:t>bringing</w:t>
            </w:r>
            <w:r w:rsidRPr="00B10694">
              <w:rPr>
                <w:rFonts w:eastAsia="Calibri"/>
                <w:sz w:val="20"/>
                <w:szCs w:val="20"/>
              </w:rPr>
              <w:t xml:space="preserve"> its report up to date on a yearly basis to make the information timelier and more usable.</w:t>
            </w:r>
          </w:p>
          <w:p w14:paraId="73307603" w14:textId="77777777" w:rsidR="001B2F93" w:rsidRPr="00B10694" w:rsidRDefault="001B2F93" w:rsidP="001414F5">
            <w:pPr>
              <w:ind w:left="720"/>
              <w:contextualSpacing/>
              <w:jc w:val="both"/>
              <w:rPr>
                <w:rFonts w:eastAsia="Calibri"/>
                <w:sz w:val="20"/>
                <w:szCs w:val="20"/>
              </w:rPr>
            </w:pPr>
          </w:p>
          <w:p w14:paraId="252C4408" w14:textId="77777777" w:rsidR="001B2F93" w:rsidRPr="00B10694" w:rsidRDefault="001B2F93" w:rsidP="001414F5">
            <w:pPr>
              <w:ind w:left="720"/>
              <w:contextualSpacing/>
              <w:jc w:val="both"/>
              <w:rPr>
                <w:rFonts w:eastAsia="Calibri"/>
                <w:sz w:val="20"/>
                <w:szCs w:val="20"/>
                <w:highlight w:val="cyan"/>
              </w:rPr>
            </w:pPr>
          </w:p>
          <w:p w14:paraId="2E3AB2F6" w14:textId="77777777" w:rsidR="001B2F93" w:rsidRPr="00B10694" w:rsidRDefault="001B2F93" w:rsidP="001414F5">
            <w:pPr>
              <w:ind w:left="720"/>
              <w:contextualSpacing/>
              <w:jc w:val="both"/>
              <w:rPr>
                <w:rFonts w:eastAsia="Calibri"/>
                <w:sz w:val="20"/>
                <w:szCs w:val="20"/>
                <w:highlight w:val="cyan"/>
              </w:rPr>
            </w:pPr>
          </w:p>
          <w:p w14:paraId="1CF048DB" w14:textId="77777777" w:rsidR="001B2F93" w:rsidRPr="00B10694" w:rsidRDefault="001B2F93" w:rsidP="001414F5">
            <w:pPr>
              <w:ind w:left="720"/>
              <w:contextualSpacing/>
              <w:jc w:val="both"/>
              <w:rPr>
                <w:rFonts w:eastAsia="Calibri"/>
                <w:sz w:val="20"/>
                <w:szCs w:val="20"/>
                <w:highlight w:val="cyan"/>
              </w:rPr>
            </w:pPr>
          </w:p>
          <w:p w14:paraId="4927C9F5" w14:textId="77777777" w:rsidR="001B2F93" w:rsidRPr="00B10694" w:rsidRDefault="001B2F93" w:rsidP="001414F5">
            <w:pPr>
              <w:ind w:left="720"/>
              <w:contextualSpacing/>
              <w:jc w:val="both"/>
              <w:rPr>
                <w:rFonts w:eastAsia="Calibri"/>
                <w:sz w:val="20"/>
                <w:szCs w:val="20"/>
                <w:highlight w:val="cyan"/>
              </w:rPr>
            </w:pPr>
          </w:p>
          <w:p w14:paraId="167B9206" w14:textId="77777777" w:rsidR="001B2F93" w:rsidRPr="00B10694" w:rsidRDefault="001B2F93" w:rsidP="001414F5">
            <w:pPr>
              <w:ind w:left="720"/>
              <w:contextualSpacing/>
              <w:jc w:val="both"/>
              <w:rPr>
                <w:rFonts w:eastAsia="Calibri"/>
                <w:sz w:val="20"/>
                <w:szCs w:val="20"/>
                <w:highlight w:val="cyan"/>
              </w:rPr>
            </w:pPr>
          </w:p>
          <w:p w14:paraId="1D9DB7BD" w14:textId="77777777" w:rsidR="001B2F93" w:rsidRPr="00B10694" w:rsidRDefault="001B2F93" w:rsidP="001414F5">
            <w:pPr>
              <w:ind w:left="720"/>
              <w:contextualSpacing/>
              <w:jc w:val="both"/>
              <w:rPr>
                <w:rFonts w:eastAsia="Calibri"/>
                <w:sz w:val="20"/>
                <w:szCs w:val="20"/>
                <w:highlight w:val="cyan"/>
              </w:rPr>
            </w:pPr>
          </w:p>
          <w:p w14:paraId="469E930B" w14:textId="77777777" w:rsidR="001B2F93" w:rsidRPr="00B10694" w:rsidRDefault="001B2F93" w:rsidP="001414F5">
            <w:pPr>
              <w:ind w:left="720"/>
              <w:contextualSpacing/>
              <w:jc w:val="both"/>
              <w:rPr>
                <w:rFonts w:eastAsia="Calibri"/>
                <w:sz w:val="20"/>
                <w:szCs w:val="20"/>
                <w:highlight w:val="cyan"/>
              </w:rPr>
            </w:pPr>
          </w:p>
          <w:p w14:paraId="4C7BEE7A" w14:textId="77777777" w:rsidR="001B2F93" w:rsidRPr="00B10694" w:rsidRDefault="001B2F93" w:rsidP="001414F5">
            <w:pPr>
              <w:ind w:left="720"/>
              <w:contextualSpacing/>
              <w:jc w:val="both"/>
              <w:rPr>
                <w:rFonts w:eastAsia="Calibri"/>
                <w:sz w:val="20"/>
                <w:szCs w:val="20"/>
                <w:highlight w:val="cyan"/>
              </w:rPr>
            </w:pPr>
          </w:p>
          <w:p w14:paraId="4978A439" w14:textId="77777777" w:rsidR="001B2F93" w:rsidRPr="00B10694" w:rsidRDefault="001B2F93" w:rsidP="001414F5">
            <w:pPr>
              <w:ind w:left="720"/>
              <w:contextualSpacing/>
              <w:jc w:val="both"/>
              <w:rPr>
                <w:rFonts w:eastAsia="Calibri"/>
                <w:sz w:val="20"/>
                <w:szCs w:val="20"/>
                <w:highlight w:val="cyan"/>
              </w:rPr>
            </w:pPr>
          </w:p>
          <w:p w14:paraId="3440F9BF" w14:textId="77777777" w:rsidR="001B2F93" w:rsidRPr="00B10694" w:rsidRDefault="001B2F93" w:rsidP="001414F5">
            <w:pPr>
              <w:ind w:left="720"/>
              <w:contextualSpacing/>
              <w:jc w:val="both"/>
              <w:rPr>
                <w:rFonts w:eastAsia="Calibri"/>
                <w:sz w:val="20"/>
                <w:szCs w:val="20"/>
                <w:highlight w:val="cyan"/>
              </w:rPr>
            </w:pPr>
          </w:p>
          <w:p w14:paraId="3BB9E276" w14:textId="77777777" w:rsidR="001B2F93" w:rsidRPr="00B10694" w:rsidRDefault="001B2F93" w:rsidP="001414F5">
            <w:pPr>
              <w:ind w:left="720"/>
              <w:contextualSpacing/>
              <w:jc w:val="both"/>
              <w:rPr>
                <w:rFonts w:eastAsia="Calibri"/>
                <w:sz w:val="20"/>
                <w:szCs w:val="20"/>
                <w:highlight w:val="cyan"/>
              </w:rPr>
            </w:pPr>
          </w:p>
          <w:p w14:paraId="6531AD0B" w14:textId="77777777" w:rsidR="001B2F93" w:rsidRPr="00B10694" w:rsidRDefault="001B2F93" w:rsidP="001414F5">
            <w:pPr>
              <w:ind w:left="720"/>
              <w:contextualSpacing/>
              <w:jc w:val="both"/>
              <w:rPr>
                <w:rFonts w:eastAsia="Calibri"/>
                <w:sz w:val="20"/>
                <w:szCs w:val="20"/>
                <w:highlight w:val="cyan"/>
              </w:rPr>
            </w:pPr>
          </w:p>
          <w:p w14:paraId="3DC87994" w14:textId="77777777" w:rsidR="001B2F93" w:rsidRPr="00B10694" w:rsidRDefault="001B2F93" w:rsidP="001414F5">
            <w:pPr>
              <w:ind w:left="720"/>
              <w:contextualSpacing/>
              <w:jc w:val="both"/>
              <w:rPr>
                <w:rFonts w:eastAsia="Calibri"/>
                <w:sz w:val="20"/>
                <w:szCs w:val="20"/>
                <w:highlight w:val="cyan"/>
              </w:rPr>
            </w:pPr>
          </w:p>
          <w:p w14:paraId="4EED02E6" w14:textId="77777777" w:rsidR="001B2F93" w:rsidRPr="00B10694" w:rsidRDefault="001B2F93" w:rsidP="001414F5">
            <w:pPr>
              <w:contextualSpacing/>
              <w:jc w:val="both"/>
              <w:rPr>
                <w:kern w:val="2"/>
                <w:sz w:val="20"/>
                <w:szCs w:val="20"/>
                <w14:ligatures w14:val="standardContextual"/>
              </w:rPr>
            </w:pPr>
            <w:r w:rsidRPr="00B10694">
              <w:rPr>
                <w:rFonts w:eastAsia="Calibri"/>
                <w:sz w:val="20"/>
                <w:szCs w:val="20"/>
              </w:rPr>
              <w:t xml:space="preserve">Quality Data assurance statements are issued by the office of the  Auditor General of Guyana attesting to the </w:t>
            </w:r>
            <w:r w:rsidRPr="00B10694">
              <w:rPr>
                <w:kern w:val="2"/>
                <w:sz w:val="20"/>
                <w:szCs w:val="20"/>
                <w14:ligatures w14:val="standardContextual"/>
              </w:rPr>
              <w:t xml:space="preserve"> data quality and assurance and what assurance measures are required for validating government reporting templates. </w:t>
            </w:r>
          </w:p>
          <w:p w14:paraId="75950D1D" w14:textId="55A5234B" w:rsidR="001B2F93" w:rsidRPr="00B10694" w:rsidRDefault="001B2F93" w:rsidP="001414F5">
            <w:pPr>
              <w:contextualSpacing/>
              <w:jc w:val="both"/>
              <w:rPr>
                <w:rFonts w:eastAsia="Calibri"/>
                <w:sz w:val="20"/>
                <w:szCs w:val="20"/>
              </w:rPr>
            </w:pPr>
            <w:r w:rsidRPr="00B10694">
              <w:rPr>
                <w:kern w:val="2"/>
                <w:sz w:val="20"/>
                <w:szCs w:val="20"/>
                <w14:ligatures w14:val="standardContextual"/>
              </w:rPr>
              <w:t xml:space="preserve">An “Agreed Upon Procedure” has been adopted in 2024 by the MSG. This ensured credible, independent audit in keeping with </w:t>
            </w:r>
            <w:r w:rsidR="00C32C78" w:rsidRPr="00B10694">
              <w:rPr>
                <w:kern w:val="2"/>
                <w:sz w:val="20"/>
                <w:szCs w:val="20"/>
                <w14:ligatures w14:val="standardContextual"/>
              </w:rPr>
              <w:t>international</w:t>
            </w:r>
            <w:r w:rsidRPr="00B10694">
              <w:rPr>
                <w:kern w:val="2"/>
                <w:sz w:val="20"/>
                <w:szCs w:val="20"/>
                <w14:ligatures w14:val="standardContextual"/>
              </w:rPr>
              <w:t xml:space="preserve"> </w:t>
            </w:r>
            <w:r w:rsidR="00212D2A" w:rsidRPr="00B10694">
              <w:rPr>
                <w:kern w:val="2"/>
                <w:sz w:val="20"/>
                <w:szCs w:val="20"/>
                <w14:ligatures w14:val="standardContextual"/>
              </w:rPr>
              <w:t>standards</w:t>
            </w:r>
            <w:r w:rsidRPr="00B10694">
              <w:rPr>
                <w:kern w:val="2"/>
                <w:sz w:val="20"/>
                <w:szCs w:val="20"/>
                <w14:ligatures w14:val="standardContextual"/>
              </w:rPr>
              <w:t>.</w:t>
            </w:r>
          </w:p>
          <w:p w14:paraId="72251063" w14:textId="77777777" w:rsidR="001B2F93" w:rsidRPr="00B10694" w:rsidRDefault="001B2F93" w:rsidP="001414F5">
            <w:pPr>
              <w:contextualSpacing/>
              <w:jc w:val="both"/>
              <w:rPr>
                <w:rFonts w:eastAsia="Calibri"/>
                <w:sz w:val="20"/>
                <w:szCs w:val="20"/>
              </w:rPr>
            </w:pPr>
          </w:p>
          <w:p w14:paraId="12F293BD" w14:textId="27B558DE" w:rsidR="001B2F93" w:rsidRPr="00B10694" w:rsidRDefault="001B2F93" w:rsidP="001414F5">
            <w:pPr>
              <w:contextualSpacing/>
              <w:jc w:val="both"/>
              <w:rPr>
                <w:rFonts w:eastAsia="Calibri"/>
                <w:sz w:val="20"/>
                <w:szCs w:val="20"/>
              </w:rPr>
            </w:pPr>
            <w:r w:rsidRPr="00B10694">
              <w:rPr>
                <w:rFonts w:eastAsia="Calibri"/>
                <w:sz w:val="20"/>
                <w:szCs w:val="20"/>
              </w:rPr>
              <w:t xml:space="preserve">All government </w:t>
            </w:r>
            <w:r w:rsidR="00212D2A" w:rsidRPr="00B10694">
              <w:rPr>
                <w:rFonts w:eastAsia="Calibri"/>
                <w:sz w:val="20"/>
                <w:szCs w:val="20"/>
              </w:rPr>
              <w:t>entities’</w:t>
            </w:r>
            <w:r w:rsidRPr="00B10694">
              <w:rPr>
                <w:rFonts w:eastAsia="Calibri"/>
                <w:sz w:val="20"/>
                <w:szCs w:val="20"/>
              </w:rPr>
              <w:t xml:space="preserve"> submissions were signed by senior </w:t>
            </w:r>
            <w:r w:rsidR="00212D2A" w:rsidRPr="00B10694">
              <w:rPr>
                <w:rFonts w:eastAsia="Calibri"/>
                <w:sz w:val="20"/>
                <w:szCs w:val="20"/>
              </w:rPr>
              <w:t>management,</w:t>
            </w:r>
            <w:r w:rsidRPr="00B10694">
              <w:rPr>
                <w:rFonts w:eastAsia="Calibri"/>
                <w:sz w:val="20"/>
                <w:szCs w:val="20"/>
              </w:rPr>
              <w:t xml:space="preserve"> and the Auditor General provided an independent  assurance report  for each </w:t>
            </w:r>
            <w:r w:rsidR="00212D2A" w:rsidRPr="00B10694">
              <w:rPr>
                <w:rFonts w:eastAsia="Calibri"/>
                <w:sz w:val="20"/>
                <w:szCs w:val="20"/>
              </w:rPr>
              <w:t>submission</w:t>
            </w:r>
            <w:r w:rsidRPr="00B10694">
              <w:rPr>
                <w:rFonts w:eastAsia="Calibri"/>
                <w:sz w:val="20"/>
                <w:szCs w:val="20"/>
              </w:rPr>
              <w:t xml:space="preserve">. </w:t>
            </w:r>
          </w:p>
          <w:p w14:paraId="40E6A03C" w14:textId="05A4420C" w:rsidR="001B2F93" w:rsidRPr="00B10694" w:rsidRDefault="001B2F93" w:rsidP="00212D2A">
            <w:pPr>
              <w:contextualSpacing/>
              <w:jc w:val="both"/>
              <w:rPr>
                <w:rFonts w:eastAsia="Calibri"/>
                <w:sz w:val="20"/>
                <w:szCs w:val="20"/>
                <w:highlight w:val="cyan"/>
              </w:rPr>
            </w:pPr>
            <w:r w:rsidRPr="00B10694">
              <w:rPr>
                <w:rFonts w:eastAsia="Calibri"/>
                <w:sz w:val="20"/>
                <w:szCs w:val="20"/>
                <w:highlight w:val="cyan"/>
              </w:rPr>
              <w:t xml:space="preserve"> </w:t>
            </w:r>
          </w:p>
        </w:tc>
      </w:tr>
      <w:tr w:rsidR="001B2F93" w:rsidRPr="001B2F93" w14:paraId="0FBDBFC7" w14:textId="77777777" w:rsidTr="00A74514">
        <w:tc>
          <w:tcPr>
            <w:tcW w:w="4495" w:type="dxa"/>
          </w:tcPr>
          <w:p w14:paraId="4754E65C" w14:textId="77777777" w:rsidR="001B2F93" w:rsidRPr="001B2F93" w:rsidRDefault="001B2F93" w:rsidP="001414F5">
            <w:pPr>
              <w:contextualSpacing/>
              <w:jc w:val="both"/>
              <w:rPr>
                <w:rFonts w:eastAsia="Calibri"/>
                <w:sz w:val="20"/>
                <w:szCs w:val="20"/>
              </w:rPr>
            </w:pPr>
            <w:r w:rsidRPr="001B2F93">
              <w:rPr>
                <w:rFonts w:eastAsia="Calibri"/>
                <w:sz w:val="20"/>
                <w:szCs w:val="20"/>
              </w:rPr>
              <w:lastRenderedPageBreak/>
              <w:t>5.1 Distribution of extractive industry revenues. Implementing countries must disclose a description of the distribution of revenues from the extractive industries. a) Implementing countries should indicate which extractive industry revenues are recorded in the national budget, whether cash or in-kind. Where revenues are not recorded in the national budget, the allocation of these revenues must be explained, with links provided to relevant financial reports as applicable, e.g., sovereign wealth and development funds, sub-national governments, state-owned enterprises, and other extra-budgetary entities. b) Multi-stakeholder groups are encouraged to reference national revenue classification systems and international standards such as the IMF Government Finance Statistics Manual.</w:t>
            </w:r>
          </w:p>
          <w:p w14:paraId="1F16214E" w14:textId="77777777" w:rsidR="001B2F93" w:rsidRPr="001B2F93" w:rsidRDefault="001B2F93" w:rsidP="001414F5">
            <w:pPr>
              <w:contextualSpacing/>
              <w:jc w:val="both"/>
              <w:rPr>
                <w:rFonts w:eastAsia="Calibri"/>
                <w:sz w:val="20"/>
                <w:szCs w:val="20"/>
              </w:rPr>
            </w:pPr>
          </w:p>
          <w:p w14:paraId="2F08648F" w14:textId="77777777" w:rsidR="001B2F93" w:rsidRPr="001B2F93" w:rsidRDefault="001B2F93" w:rsidP="001414F5">
            <w:pPr>
              <w:contextualSpacing/>
              <w:jc w:val="both"/>
              <w:rPr>
                <w:rFonts w:eastAsia="Calibri"/>
                <w:sz w:val="20"/>
                <w:szCs w:val="20"/>
              </w:rPr>
            </w:pPr>
            <w:r w:rsidRPr="001B2F93">
              <w:rPr>
                <w:rFonts w:eastAsia="Calibri"/>
                <w:sz w:val="20"/>
                <w:szCs w:val="20"/>
              </w:rPr>
              <w:lastRenderedPageBreak/>
              <w:t xml:space="preserve">5.2 Subnational transfers. a) Where transfers between national and sub-national government entities are related to revenues generated by the extractive industries and are mandated by a national constitution, statute, or other revenue-sharing mechanisms, the multi-stakeholder group is required to ensure that material transfers are disclosed. Implementing countries should disclose the revenue-sharing formula and any discrepancies between the transfer amount calculated under the relevant revenue-sharing formula and the actual amount transferred between the central government and each relevant subnational entity. The multi-stakeholder group is encouraged to reconcile these transfers. Where there are constitutional or significant practical barriers to the participation of sub-national government entities, the multi-stakeholder group may seek adapted implementation under Requirement 8.1. b) The multi-stakeholder group is encouraged to ensure that any material discretionary or ad-hoc transfers are disclosed and reconciled where possible. </w:t>
            </w:r>
          </w:p>
          <w:p w14:paraId="700696C4" w14:textId="77777777" w:rsidR="001B2F93" w:rsidRPr="001B2F93" w:rsidRDefault="001B2F93" w:rsidP="001414F5">
            <w:pPr>
              <w:contextualSpacing/>
              <w:jc w:val="both"/>
              <w:rPr>
                <w:rFonts w:eastAsia="Calibri"/>
                <w:sz w:val="20"/>
                <w:szCs w:val="20"/>
              </w:rPr>
            </w:pPr>
          </w:p>
          <w:p w14:paraId="47D2CEB8" w14:textId="77777777" w:rsidR="001B2F93" w:rsidRPr="001B2F93" w:rsidRDefault="001B2F93" w:rsidP="001414F5">
            <w:pPr>
              <w:contextualSpacing/>
              <w:jc w:val="both"/>
              <w:rPr>
                <w:rFonts w:eastAsia="Calibri"/>
                <w:sz w:val="20"/>
                <w:szCs w:val="20"/>
              </w:rPr>
            </w:pPr>
            <w:r w:rsidRPr="001B2F93">
              <w:rPr>
                <w:rFonts w:eastAsia="Calibri"/>
                <w:sz w:val="20"/>
                <w:szCs w:val="20"/>
              </w:rPr>
              <w:t>5.3 Revenue management and expenditures. The multi-stakeholder group is encouraged to disclose further information on revenue management and expenditures, including a) A description of any extractive revenues earmarked for specific programs or geographic regions. This should include a description of the methods for ensuring accountability and efficiency. b) A description of the country’s budget and audit processes and links to the publicly available information on budgeting, expenditures, and audit reports. c) Timely information from the government that will further public understanding and debate around revenue sustainability and resource dependence issues. This may include the assumptions underpinning forthcoming years in the budget cycle and relating to projected production, commodity prices, revenue forecasts arising from the extractive industries, and the proportion of future fiscal revenues expected from the extractive sector.</w:t>
            </w:r>
          </w:p>
        </w:tc>
        <w:tc>
          <w:tcPr>
            <w:tcW w:w="5400" w:type="dxa"/>
          </w:tcPr>
          <w:p w14:paraId="42FF94FD" w14:textId="77777777" w:rsidR="00B31C05" w:rsidRPr="00B31C05" w:rsidRDefault="00B31C05" w:rsidP="00B31C05">
            <w:pPr>
              <w:contextualSpacing/>
              <w:jc w:val="both"/>
              <w:rPr>
                <w:rFonts w:eastAsia="Calibri"/>
                <w:sz w:val="20"/>
                <w:szCs w:val="20"/>
              </w:rPr>
            </w:pPr>
            <w:r w:rsidRPr="00B31C05">
              <w:rPr>
                <w:rFonts w:eastAsia="Calibri"/>
                <w:sz w:val="20"/>
                <w:szCs w:val="20"/>
              </w:rPr>
              <w:lastRenderedPageBreak/>
              <w:t>The national budgetary allocation system does not allow revenues to be traced back to their specific sources or uses. All revenues are consolidated and allocated through the national budget to projects aimed at enhancing the welfare and living standards of the citizens of Guyana.</w:t>
            </w:r>
          </w:p>
          <w:p w14:paraId="3E5143E0" w14:textId="77777777" w:rsidR="00AF15A6" w:rsidRDefault="00AF15A6" w:rsidP="00B31C05">
            <w:pPr>
              <w:contextualSpacing/>
              <w:jc w:val="both"/>
              <w:rPr>
                <w:rFonts w:eastAsia="Calibri"/>
                <w:sz w:val="20"/>
                <w:szCs w:val="20"/>
              </w:rPr>
            </w:pPr>
          </w:p>
          <w:p w14:paraId="620392B0" w14:textId="37973176" w:rsidR="00B31C05" w:rsidRPr="00B31C05" w:rsidRDefault="00B31C05" w:rsidP="00B31C05">
            <w:pPr>
              <w:contextualSpacing/>
              <w:jc w:val="both"/>
              <w:rPr>
                <w:rFonts w:eastAsia="Calibri"/>
                <w:sz w:val="20"/>
                <w:szCs w:val="20"/>
              </w:rPr>
            </w:pPr>
            <w:r w:rsidRPr="00B31C05">
              <w:rPr>
                <w:rFonts w:eastAsia="Calibri"/>
                <w:sz w:val="20"/>
                <w:szCs w:val="20"/>
              </w:rPr>
              <w:t>Key projects supported through this system include energy transition initiatives, hydro and solar farms, and the provision of electricity to rural communities, including Amerindian villages.</w:t>
            </w:r>
          </w:p>
          <w:p w14:paraId="2BBD143A" w14:textId="78DFF67A" w:rsidR="001B2F93" w:rsidRPr="001B2F93" w:rsidRDefault="001B2F93" w:rsidP="001414F5">
            <w:pPr>
              <w:contextualSpacing/>
              <w:jc w:val="both"/>
              <w:rPr>
                <w:rFonts w:eastAsia="Calibri"/>
                <w:sz w:val="20"/>
                <w:szCs w:val="20"/>
                <w:highlight w:val="cyan"/>
              </w:rPr>
            </w:pPr>
          </w:p>
        </w:tc>
      </w:tr>
      <w:tr w:rsidR="001B2F93" w:rsidRPr="001B2F93" w14:paraId="6CCC4A8B" w14:textId="77777777" w:rsidTr="00A74514">
        <w:tc>
          <w:tcPr>
            <w:tcW w:w="4495" w:type="dxa"/>
          </w:tcPr>
          <w:p w14:paraId="7D72EC70" w14:textId="77777777" w:rsidR="001B2F93" w:rsidRPr="001B2F93" w:rsidRDefault="001B2F93" w:rsidP="001414F5">
            <w:pPr>
              <w:contextualSpacing/>
              <w:jc w:val="both"/>
              <w:rPr>
                <w:rFonts w:eastAsia="Calibri"/>
                <w:sz w:val="20"/>
                <w:szCs w:val="20"/>
              </w:rPr>
            </w:pPr>
            <w:bookmarkStart w:id="36" w:name="_Hlk162063712"/>
            <w:r w:rsidRPr="001B2F93">
              <w:rPr>
                <w:rFonts w:eastAsia="Calibri"/>
                <w:sz w:val="20"/>
                <w:szCs w:val="20"/>
              </w:rPr>
              <w:t xml:space="preserve">6.1 Social expenditures by extractive companies. a) Where material social expenditures by companies are mandated by law or the contract with the government that governs the extractive investment, implementing countries must disclose and, where possible, reconcile these transactions. Where such benefits are provided in-kind, it is required that implementing countries disclose the nature and the deemed value of the in-kind transaction. Where the beneficiary of the mandated social expenditure is a third party, i.e., not a government agency, it is required that the name and function of the beneficiary be disclosed. Where reconciliation is not feasible, countries should provide </w:t>
            </w:r>
            <w:r w:rsidRPr="001B2F93">
              <w:rPr>
                <w:rFonts w:eastAsia="Calibri"/>
                <w:sz w:val="20"/>
                <w:szCs w:val="20"/>
              </w:rPr>
              <w:lastRenderedPageBreak/>
              <w:t xml:space="preserve">unilateral company and/or government disclosures of these transactions. b) Where the multi-stakeholder group agrees that discretionary social expenditures and transfers are material, the multi-stakeholder group is encouraged to develop a reporting process to achieve transparency commensurate with the disclosure of other payments and revenue streams to government entities. Where reconciliation of key transactions is impossible, e.g., company payments are in-kind, or to a non-governmental third party, the multi-stakeholder group may wish to agree on an approach for the voluntary unilateral company and/or government disclosures. </w:t>
            </w:r>
          </w:p>
          <w:p w14:paraId="3CE578E7" w14:textId="77777777" w:rsidR="001B2F93" w:rsidRPr="001B2F93" w:rsidRDefault="001B2F93" w:rsidP="001414F5">
            <w:pPr>
              <w:contextualSpacing/>
              <w:jc w:val="both"/>
              <w:rPr>
                <w:rFonts w:eastAsia="Calibri"/>
                <w:sz w:val="20"/>
                <w:szCs w:val="20"/>
              </w:rPr>
            </w:pPr>
            <w:r w:rsidRPr="001B2F93">
              <w:rPr>
                <w:rFonts w:eastAsia="Calibri"/>
                <w:sz w:val="20"/>
                <w:szCs w:val="20"/>
              </w:rPr>
              <w:t>6.2 Quasi-fiscal expenditures.  Where state participation in the extractive industries gives rise to material revenue payments, implementing countries must include disclosures from SOE(s) on their quasi-fiscal expenditures. Quasi-fiscal expenditures include arrangements whereby SOE(s) undertake public social expenditures such as payments for social services, public infrastructure, fuel subsidies, national debt servicing, etc., outside of the national budgetary process. The multi-stakeholder group must develop a reporting process to achieve transparency commensurate with other payments and revenue streams, including SOE subsidiaries and joint ventures.</w:t>
            </w:r>
          </w:p>
          <w:p w14:paraId="4A5C0544" w14:textId="77777777" w:rsidR="001B2F93" w:rsidRPr="001B2F93" w:rsidRDefault="001B2F93" w:rsidP="001414F5">
            <w:pPr>
              <w:contextualSpacing/>
              <w:jc w:val="both"/>
              <w:rPr>
                <w:rFonts w:eastAsia="Calibri"/>
                <w:sz w:val="20"/>
                <w:szCs w:val="20"/>
              </w:rPr>
            </w:pPr>
            <w:r w:rsidRPr="001B2F93">
              <w:rPr>
                <w:rFonts w:eastAsia="Calibri"/>
                <w:sz w:val="20"/>
                <w:szCs w:val="20"/>
              </w:rPr>
              <w:t>6.3 The contribution of the extractive sector to the economy. Implementing countries must disclose, when available, information about the contribution of the extractive industries to the economy for the fiscal year covered by the EITI Report. It is required that this information includes the following:</w:t>
            </w:r>
          </w:p>
          <w:p w14:paraId="4742E941" w14:textId="77777777" w:rsidR="001B2F93" w:rsidRPr="001B2F93" w:rsidRDefault="001B2F93" w:rsidP="001414F5">
            <w:pPr>
              <w:contextualSpacing/>
              <w:jc w:val="both"/>
              <w:rPr>
                <w:rFonts w:eastAsia="Calibri"/>
                <w:sz w:val="20"/>
                <w:szCs w:val="20"/>
              </w:rPr>
            </w:pPr>
          </w:p>
          <w:p w14:paraId="6CFB3D80" w14:textId="77777777" w:rsidR="001B2F93" w:rsidRPr="001B2F93" w:rsidRDefault="001B2F93" w:rsidP="001414F5">
            <w:pPr>
              <w:contextualSpacing/>
              <w:jc w:val="both"/>
              <w:rPr>
                <w:rFonts w:eastAsia="Calibri"/>
                <w:sz w:val="20"/>
                <w:szCs w:val="20"/>
              </w:rPr>
            </w:pPr>
            <w:r w:rsidRPr="001B2F93">
              <w:rPr>
                <w:rFonts w:eastAsia="Calibri"/>
                <w:sz w:val="20"/>
                <w:szCs w:val="20"/>
              </w:rPr>
              <w:t xml:space="preserve">a) The size of the extractive industries in absolute terms and as a percentage of GDP and an estimate of informal sector activity, including but not necessarily limited to artisanal and small-scale mining. </w:t>
            </w:r>
          </w:p>
          <w:p w14:paraId="7D733E00" w14:textId="77777777" w:rsidR="001B2F93" w:rsidRPr="001B2F93" w:rsidRDefault="001B2F93" w:rsidP="001414F5">
            <w:pPr>
              <w:contextualSpacing/>
              <w:jc w:val="both"/>
              <w:rPr>
                <w:rFonts w:eastAsia="Calibri"/>
                <w:sz w:val="20"/>
                <w:szCs w:val="20"/>
              </w:rPr>
            </w:pPr>
            <w:r w:rsidRPr="001B2F93">
              <w:rPr>
                <w:rFonts w:eastAsia="Calibri"/>
                <w:sz w:val="20"/>
                <w:szCs w:val="20"/>
              </w:rPr>
              <w:t>b) Total government revenues generated by the extractive industries (including taxes, royalties, bonuses, fees, and other payments) in absolute terms and as a percentage of total government revenues.</w:t>
            </w:r>
          </w:p>
          <w:p w14:paraId="491E726C" w14:textId="77777777" w:rsidR="001B2F93" w:rsidRPr="001B2F93" w:rsidRDefault="001B2F93" w:rsidP="001414F5">
            <w:pPr>
              <w:contextualSpacing/>
              <w:jc w:val="both"/>
              <w:rPr>
                <w:rFonts w:eastAsia="Calibri"/>
                <w:sz w:val="20"/>
                <w:szCs w:val="20"/>
              </w:rPr>
            </w:pPr>
            <w:r w:rsidRPr="001B2F93">
              <w:rPr>
                <w:rFonts w:eastAsia="Calibri"/>
                <w:sz w:val="20"/>
                <w:szCs w:val="20"/>
              </w:rPr>
              <w:t xml:space="preserve">c) Exports from the extractive industries in absolute terms and as a percentage of total exports. </w:t>
            </w:r>
          </w:p>
          <w:p w14:paraId="30186CC8" w14:textId="77777777" w:rsidR="001B2F93" w:rsidRPr="001B2F93" w:rsidRDefault="001B2F93" w:rsidP="001414F5">
            <w:pPr>
              <w:contextualSpacing/>
              <w:jc w:val="both"/>
              <w:rPr>
                <w:rFonts w:eastAsia="Calibri"/>
                <w:sz w:val="20"/>
                <w:szCs w:val="20"/>
              </w:rPr>
            </w:pPr>
            <w:r w:rsidRPr="001B2F93">
              <w:rPr>
                <w:rFonts w:eastAsia="Calibri"/>
                <w:sz w:val="20"/>
                <w:szCs w:val="20"/>
              </w:rPr>
              <w:t>d) Employment in the extractive industries in absolute terms and as a percentage of the total employment. e) Key regions/areas where production is concentrated.</w:t>
            </w:r>
            <w:bookmarkEnd w:id="36"/>
          </w:p>
        </w:tc>
        <w:tc>
          <w:tcPr>
            <w:tcW w:w="5400" w:type="dxa"/>
          </w:tcPr>
          <w:p w14:paraId="3411FC70" w14:textId="77777777" w:rsidR="001B2F93" w:rsidRPr="001B2F93" w:rsidRDefault="001B2F93" w:rsidP="001414F5">
            <w:pPr>
              <w:ind w:left="720"/>
              <w:contextualSpacing/>
              <w:jc w:val="both"/>
              <w:rPr>
                <w:rFonts w:eastAsia="Calibri"/>
                <w:color w:val="FF0000"/>
                <w:sz w:val="20"/>
                <w:szCs w:val="20"/>
              </w:rPr>
            </w:pPr>
          </w:p>
          <w:p w14:paraId="310E2EFA" w14:textId="77777777" w:rsidR="001B2F93" w:rsidRPr="001B2F93" w:rsidRDefault="001B2F93" w:rsidP="001414F5">
            <w:pPr>
              <w:ind w:left="720"/>
              <w:contextualSpacing/>
              <w:jc w:val="both"/>
              <w:rPr>
                <w:rFonts w:eastAsia="Calibri"/>
                <w:color w:val="FF0000"/>
                <w:sz w:val="20"/>
                <w:szCs w:val="20"/>
              </w:rPr>
            </w:pPr>
          </w:p>
          <w:p w14:paraId="082D01F1" w14:textId="17E92A8A" w:rsidR="001B2F93" w:rsidRPr="001B2F93" w:rsidRDefault="001B2F93" w:rsidP="001414F5">
            <w:pPr>
              <w:ind w:left="720"/>
              <w:contextualSpacing/>
              <w:jc w:val="both"/>
              <w:rPr>
                <w:rFonts w:eastAsia="Calibri"/>
                <w:color w:val="FF0000"/>
                <w:sz w:val="20"/>
                <w:szCs w:val="20"/>
              </w:rPr>
            </w:pPr>
          </w:p>
          <w:p w14:paraId="41B03B37" w14:textId="77777777" w:rsidR="001B2F93" w:rsidRPr="001B2F93" w:rsidRDefault="001B2F93" w:rsidP="001414F5">
            <w:pPr>
              <w:ind w:left="720"/>
              <w:contextualSpacing/>
              <w:jc w:val="both"/>
              <w:rPr>
                <w:rFonts w:eastAsia="Calibri"/>
                <w:color w:val="FF0000"/>
                <w:sz w:val="20"/>
                <w:szCs w:val="20"/>
              </w:rPr>
            </w:pPr>
          </w:p>
          <w:p w14:paraId="20DC7D75" w14:textId="77777777" w:rsidR="001B2F93" w:rsidRPr="001B2F93" w:rsidRDefault="001B2F93" w:rsidP="001414F5">
            <w:pPr>
              <w:ind w:left="720"/>
              <w:contextualSpacing/>
              <w:jc w:val="both"/>
              <w:rPr>
                <w:rFonts w:eastAsia="Calibri"/>
                <w:color w:val="FF0000"/>
                <w:sz w:val="20"/>
                <w:szCs w:val="20"/>
              </w:rPr>
            </w:pPr>
          </w:p>
          <w:p w14:paraId="45C5A820" w14:textId="77777777" w:rsidR="001B2F93" w:rsidRPr="001B2F93" w:rsidRDefault="001B2F93" w:rsidP="001414F5">
            <w:pPr>
              <w:ind w:left="720"/>
              <w:contextualSpacing/>
              <w:jc w:val="both"/>
              <w:rPr>
                <w:rFonts w:eastAsia="Calibri"/>
                <w:color w:val="FF0000"/>
                <w:sz w:val="20"/>
                <w:szCs w:val="20"/>
              </w:rPr>
            </w:pPr>
          </w:p>
          <w:p w14:paraId="4ACFBD6C" w14:textId="77777777" w:rsidR="001B2F93" w:rsidRPr="001B2F93" w:rsidRDefault="001B2F93" w:rsidP="001414F5">
            <w:pPr>
              <w:ind w:left="720"/>
              <w:contextualSpacing/>
              <w:jc w:val="both"/>
              <w:rPr>
                <w:rFonts w:eastAsia="Calibri"/>
                <w:color w:val="FF0000"/>
                <w:sz w:val="20"/>
                <w:szCs w:val="20"/>
              </w:rPr>
            </w:pPr>
          </w:p>
          <w:p w14:paraId="1EA2C45C" w14:textId="77777777" w:rsidR="001B2F93" w:rsidRPr="001B2F93" w:rsidRDefault="001B2F93" w:rsidP="001414F5">
            <w:pPr>
              <w:ind w:left="720"/>
              <w:contextualSpacing/>
              <w:jc w:val="both"/>
              <w:rPr>
                <w:rFonts w:eastAsia="Calibri"/>
                <w:color w:val="FF0000"/>
                <w:sz w:val="20"/>
                <w:szCs w:val="20"/>
              </w:rPr>
            </w:pPr>
          </w:p>
          <w:p w14:paraId="6553B504" w14:textId="77777777" w:rsidR="001B2F93" w:rsidRPr="001B2F93" w:rsidRDefault="001B2F93" w:rsidP="001414F5">
            <w:pPr>
              <w:ind w:left="720"/>
              <w:contextualSpacing/>
              <w:jc w:val="both"/>
              <w:rPr>
                <w:rFonts w:eastAsia="Calibri"/>
                <w:color w:val="FF0000"/>
                <w:sz w:val="20"/>
                <w:szCs w:val="20"/>
              </w:rPr>
            </w:pPr>
          </w:p>
          <w:p w14:paraId="5754521D" w14:textId="77777777" w:rsidR="001B2F93" w:rsidRPr="001B2F93" w:rsidRDefault="001B2F93" w:rsidP="001414F5">
            <w:pPr>
              <w:ind w:left="720"/>
              <w:contextualSpacing/>
              <w:jc w:val="both"/>
              <w:rPr>
                <w:rFonts w:eastAsia="Calibri"/>
                <w:color w:val="FF0000"/>
                <w:sz w:val="20"/>
                <w:szCs w:val="20"/>
              </w:rPr>
            </w:pPr>
          </w:p>
          <w:p w14:paraId="58DEFF72" w14:textId="77777777" w:rsidR="001B2F93" w:rsidRPr="001B2F93" w:rsidRDefault="001B2F93" w:rsidP="001414F5">
            <w:pPr>
              <w:ind w:left="720"/>
              <w:contextualSpacing/>
              <w:jc w:val="both"/>
              <w:rPr>
                <w:rFonts w:eastAsia="Calibri"/>
                <w:color w:val="FF0000"/>
                <w:sz w:val="20"/>
                <w:szCs w:val="20"/>
              </w:rPr>
            </w:pPr>
          </w:p>
          <w:p w14:paraId="7DFA9B3E" w14:textId="77777777" w:rsidR="001B2F93" w:rsidRPr="001B2F93" w:rsidRDefault="001B2F93" w:rsidP="001414F5">
            <w:pPr>
              <w:ind w:left="720"/>
              <w:contextualSpacing/>
              <w:jc w:val="both"/>
              <w:rPr>
                <w:rFonts w:eastAsia="Calibri"/>
                <w:color w:val="FF0000"/>
                <w:sz w:val="20"/>
                <w:szCs w:val="20"/>
              </w:rPr>
            </w:pPr>
          </w:p>
          <w:p w14:paraId="122289C5" w14:textId="77777777" w:rsidR="001B2F93" w:rsidRPr="001B2F93" w:rsidRDefault="001B2F93" w:rsidP="001414F5">
            <w:pPr>
              <w:ind w:left="720"/>
              <w:contextualSpacing/>
              <w:jc w:val="both"/>
              <w:rPr>
                <w:rFonts w:eastAsia="Calibri"/>
                <w:color w:val="FF0000"/>
                <w:sz w:val="20"/>
                <w:szCs w:val="20"/>
              </w:rPr>
            </w:pPr>
          </w:p>
          <w:p w14:paraId="520C01F0" w14:textId="77777777" w:rsidR="001B2F93" w:rsidRPr="001B2F93" w:rsidRDefault="001B2F93" w:rsidP="001414F5">
            <w:pPr>
              <w:ind w:left="720"/>
              <w:contextualSpacing/>
              <w:jc w:val="both"/>
              <w:rPr>
                <w:rFonts w:eastAsia="Calibri"/>
                <w:color w:val="FF0000"/>
                <w:sz w:val="20"/>
                <w:szCs w:val="20"/>
              </w:rPr>
            </w:pPr>
          </w:p>
          <w:p w14:paraId="31B336F2" w14:textId="77777777" w:rsidR="001B2F93" w:rsidRPr="001B2F93" w:rsidRDefault="001B2F93" w:rsidP="001414F5">
            <w:pPr>
              <w:ind w:left="720"/>
              <w:contextualSpacing/>
              <w:jc w:val="both"/>
              <w:rPr>
                <w:rFonts w:eastAsia="Calibri"/>
                <w:color w:val="FF0000"/>
                <w:sz w:val="20"/>
                <w:szCs w:val="20"/>
              </w:rPr>
            </w:pPr>
          </w:p>
          <w:p w14:paraId="434FA4D3" w14:textId="77777777" w:rsidR="001B2F93" w:rsidRPr="001B2F93" w:rsidRDefault="001B2F93" w:rsidP="001414F5">
            <w:pPr>
              <w:ind w:left="720"/>
              <w:contextualSpacing/>
              <w:jc w:val="both"/>
              <w:rPr>
                <w:rFonts w:eastAsia="Calibri"/>
                <w:color w:val="FF0000"/>
                <w:sz w:val="20"/>
                <w:szCs w:val="20"/>
              </w:rPr>
            </w:pPr>
          </w:p>
          <w:p w14:paraId="6173145B" w14:textId="77777777" w:rsidR="001B2F93" w:rsidRPr="001B2F93" w:rsidRDefault="001B2F93" w:rsidP="001414F5">
            <w:pPr>
              <w:ind w:left="720"/>
              <w:contextualSpacing/>
              <w:jc w:val="both"/>
              <w:rPr>
                <w:rFonts w:eastAsia="Calibri"/>
                <w:color w:val="FF0000"/>
                <w:sz w:val="20"/>
                <w:szCs w:val="20"/>
              </w:rPr>
            </w:pPr>
          </w:p>
          <w:p w14:paraId="16E0E1DE" w14:textId="77777777" w:rsidR="001B2F93" w:rsidRPr="001B2F93" w:rsidRDefault="001B2F93" w:rsidP="001414F5">
            <w:pPr>
              <w:ind w:left="720"/>
              <w:contextualSpacing/>
              <w:jc w:val="both"/>
              <w:rPr>
                <w:rFonts w:eastAsia="Calibri"/>
                <w:color w:val="FF0000"/>
                <w:sz w:val="20"/>
                <w:szCs w:val="20"/>
              </w:rPr>
            </w:pPr>
          </w:p>
          <w:p w14:paraId="4C45D053" w14:textId="77777777" w:rsidR="001B2F93" w:rsidRPr="001B2F93" w:rsidRDefault="001B2F93" w:rsidP="001414F5">
            <w:pPr>
              <w:ind w:left="720"/>
              <w:contextualSpacing/>
              <w:jc w:val="both"/>
              <w:rPr>
                <w:rFonts w:eastAsia="Calibri"/>
                <w:color w:val="FF0000"/>
                <w:sz w:val="20"/>
                <w:szCs w:val="20"/>
              </w:rPr>
            </w:pPr>
          </w:p>
          <w:p w14:paraId="2D55CF5A" w14:textId="77777777" w:rsidR="001B2F93" w:rsidRPr="001B2F93" w:rsidRDefault="001B2F93" w:rsidP="001414F5">
            <w:pPr>
              <w:ind w:left="720"/>
              <w:contextualSpacing/>
              <w:jc w:val="both"/>
              <w:rPr>
                <w:rFonts w:eastAsia="Calibri"/>
                <w:color w:val="FF0000"/>
                <w:sz w:val="20"/>
                <w:szCs w:val="20"/>
              </w:rPr>
            </w:pPr>
          </w:p>
          <w:p w14:paraId="5000894F" w14:textId="77777777" w:rsidR="001B2F93" w:rsidRPr="001B2F93" w:rsidRDefault="001B2F93" w:rsidP="001414F5">
            <w:pPr>
              <w:ind w:left="720"/>
              <w:contextualSpacing/>
              <w:jc w:val="both"/>
              <w:rPr>
                <w:rFonts w:eastAsia="Calibri"/>
                <w:color w:val="FF0000"/>
                <w:sz w:val="20"/>
                <w:szCs w:val="20"/>
              </w:rPr>
            </w:pPr>
          </w:p>
          <w:p w14:paraId="3FA07ED4" w14:textId="77777777" w:rsidR="001B2F93" w:rsidRPr="001B2F93" w:rsidRDefault="001B2F93" w:rsidP="001414F5">
            <w:pPr>
              <w:ind w:left="720"/>
              <w:contextualSpacing/>
              <w:jc w:val="both"/>
              <w:rPr>
                <w:rFonts w:eastAsia="Calibri"/>
                <w:color w:val="FF0000"/>
                <w:sz w:val="20"/>
                <w:szCs w:val="20"/>
              </w:rPr>
            </w:pPr>
          </w:p>
          <w:p w14:paraId="0B2E70C6" w14:textId="77777777" w:rsidR="001B2F93" w:rsidRPr="001B2F93" w:rsidRDefault="001B2F93" w:rsidP="001414F5">
            <w:pPr>
              <w:ind w:left="720"/>
              <w:contextualSpacing/>
              <w:jc w:val="both"/>
              <w:rPr>
                <w:rFonts w:eastAsia="Calibri"/>
                <w:color w:val="FF0000"/>
                <w:sz w:val="20"/>
                <w:szCs w:val="20"/>
              </w:rPr>
            </w:pPr>
          </w:p>
          <w:p w14:paraId="0FA902AC" w14:textId="77777777" w:rsidR="001B2F93" w:rsidRPr="001B2F93" w:rsidRDefault="001B2F93" w:rsidP="001414F5">
            <w:pPr>
              <w:ind w:left="720"/>
              <w:contextualSpacing/>
              <w:jc w:val="both"/>
              <w:rPr>
                <w:rFonts w:eastAsia="Calibri"/>
                <w:color w:val="FF0000"/>
                <w:sz w:val="20"/>
                <w:szCs w:val="20"/>
              </w:rPr>
            </w:pPr>
          </w:p>
          <w:p w14:paraId="61D83070" w14:textId="77777777" w:rsidR="001B2F93" w:rsidRPr="001B2F93" w:rsidRDefault="001B2F93" w:rsidP="001414F5">
            <w:pPr>
              <w:ind w:left="720"/>
              <w:contextualSpacing/>
              <w:jc w:val="both"/>
              <w:rPr>
                <w:rFonts w:eastAsia="Calibri"/>
                <w:color w:val="FF0000"/>
                <w:sz w:val="20"/>
                <w:szCs w:val="20"/>
              </w:rPr>
            </w:pPr>
          </w:p>
          <w:p w14:paraId="3DC71C1E" w14:textId="77777777" w:rsidR="001B2F93" w:rsidRPr="001B2F93" w:rsidRDefault="001B2F93" w:rsidP="001414F5">
            <w:pPr>
              <w:ind w:left="720"/>
              <w:contextualSpacing/>
              <w:jc w:val="both"/>
              <w:rPr>
                <w:rFonts w:eastAsia="Calibri"/>
                <w:color w:val="FF0000"/>
                <w:sz w:val="20"/>
                <w:szCs w:val="20"/>
              </w:rPr>
            </w:pPr>
          </w:p>
          <w:p w14:paraId="1A8E862A" w14:textId="77777777" w:rsidR="001B2F93" w:rsidRPr="001B2F93" w:rsidRDefault="001B2F93" w:rsidP="001414F5">
            <w:pPr>
              <w:ind w:left="720"/>
              <w:contextualSpacing/>
              <w:jc w:val="both"/>
              <w:rPr>
                <w:rFonts w:eastAsia="Calibri"/>
                <w:color w:val="FF0000"/>
                <w:sz w:val="20"/>
                <w:szCs w:val="20"/>
              </w:rPr>
            </w:pPr>
          </w:p>
          <w:p w14:paraId="68BDB5DF" w14:textId="77777777" w:rsidR="001B2F93" w:rsidRPr="001B2F93" w:rsidRDefault="001B2F93" w:rsidP="001414F5">
            <w:pPr>
              <w:ind w:left="720"/>
              <w:contextualSpacing/>
              <w:jc w:val="both"/>
              <w:rPr>
                <w:rFonts w:eastAsia="Calibri"/>
                <w:color w:val="FF0000"/>
                <w:sz w:val="20"/>
                <w:szCs w:val="20"/>
              </w:rPr>
            </w:pPr>
          </w:p>
          <w:p w14:paraId="50F72A31" w14:textId="77777777" w:rsidR="001B2F93" w:rsidRPr="001B2F93" w:rsidRDefault="001B2F93" w:rsidP="001414F5">
            <w:pPr>
              <w:ind w:left="720"/>
              <w:contextualSpacing/>
              <w:jc w:val="both"/>
              <w:rPr>
                <w:rFonts w:eastAsia="Calibri"/>
                <w:color w:val="FF0000"/>
                <w:sz w:val="20"/>
                <w:szCs w:val="20"/>
              </w:rPr>
            </w:pPr>
          </w:p>
          <w:p w14:paraId="351A6F25" w14:textId="77777777" w:rsidR="001B2F93" w:rsidRPr="001B2F93" w:rsidRDefault="001B2F93" w:rsidP="001414F5">
            <w:pPr>
              <w:ind w:left="720"/>
              <w:contextualSpacing/>
              <w:jc w:val="both"/>
              <w:rPr>
                <w:rFonts w:eastAsia="Calibri"/>
                <w:color w:val="FF0000"/>
                <w:sz w:val="20"/>
                <w:szCs w:val="20"/>
              </w:rPr>
            </w:pPr>
          </w:p>
          <w:p w14:paraId="5226B402" w14:textId="77777777" w:rsidR="001B2F93" w:rsidRPr="001B2F93" w:rsidRDefault="001B2F93" w:rsidP="001414F5">
            <w:pPr>
              <w:ind w:left="720"/>
              <w:contextualSpacing/>
              <w:jc w:val="both"/>
              <w:rPr>
                <w:rFonts w:eastAsia="Calibri"/>
                <w:color w:val="FF0000"/>
                <w:sz w:val="20"/>
                <w:szCs w:val="20"/>
              </w:rPr>
            </w:pPr>
          </w:p>
          <w:p w14:paraId="31D49B33" w14:textId="77777777" w:rsidR="001B2F93" w:rsidRPr="001B2F93" w:rsidRDefault="001B2F93" w:rsidP="001414F5">
            <w:pPr>
              <w:ind w:left="720"/>
              <w:contextualSpacing/>
              <w:jc w:val="both"/>
              <w:rPr>
                <w:rFonts w:eastAsia="Calibri"/>
                <w:color w:val="FF0000"/>
                <w:sz w:val="20"/>
                <w:szCs w:val="20"/>
              </w:rPr>
            </w:pPr>
          </w:p>
          <w:p w14:paraId="4452D1A3" w14:textId="77777777" w:rsidR="001B2F93" w:rsidRPr="001B2F93" w:rsidRDefault="001B2F93" w:rsidP="001414F5">
            <w:pPr>
              <w:ind w:left="720"/>
              <w:contextualSpacing/>
              <w:jc w:val="both"/>
              <w:rPr>
                <w:rFonts w:eastAsia="Calibri"/>
                <w:color w:val="FF0000"/>
                <w:sz w:val="20"/>
                <w:szCs w:val="20"/>
              </w:rPr>
            </w:pPr>
          </w:p>
          <w:p w14:paraId="38413973" w14:textId="77777777" w:rsidR="001B2F93" w:rsidRPr="001B2F93" w:rsidRDefault="001B2F93" w:rsidP="001414F5">
            <w:pPr>
              <w:ind w:left="720"/>
              <w:contextualSpacing/>
              <w:jc w:val="both"/>
              <w:rPr>
                <w:rFonts w:eastAsia="Calibri"/>
                <w:color w:val="FF0000"/>
                <w:sz w:val="20"/>
                <w:szCs w:val="20"/>
              </w:rPr>
            </w:pPr>
          </w:p>
          <w:p w14:paraId="3945C572" w14:textId="77777777" w:rsidR="001B2F93" w:rsidRPr="001B2F93" w:rsidRDefault="001B2F93" w:rsidP="001414F5">
            <w:pPr>
              <w:ind w:left="720"/>
              <w:contextualSpacing/>
              <w:jc w:val="both"/>
              <w:rPr>
                <w:rFonts w:eastAsia="Calibri"/>
                <w:color w:val="FF0000"/>
                <w:sz w:val="20"/>
                <w:szCs w:val="20"/>
              </w:rPr>
            </w:pPr>
          </w:p>
          <w:p w14:paraId="44B489FE" w14:textId="77777777" w:rsidR="001B2F93" w:rsidRPr="001B2F93" w:rsidRDefault="001B2F93" w:rsidP="001414F5">
            <w:pPr>
              <w:ind w:left="720"/>
              <w:contextualSpacing/>
              <w:jc w:val="both"/>
              <w:rPr>
                <w:rFonts w:eastAsia="Calibri"/>
                <w:color w:val="FF0000"/>
                <w:sz w:val="20"/>
                <w:szCs w:val="20"/>
              </w:rPr>
            </w:pPr>
          </w:p>
          <w:p w14:paraId="5D1EBE79" w14:textId="77777777" w:rsidR="001B2F93" w:rsidRPr="001B2F93" w:rsidRDefault="001B2F93" w:rsidP="001414F5">
            <w:pPr>
              <w:ind w:left="720"/>
              <w:contextualSpacing/>
              <w:jc w:val="both"/>
              <w:rPr>
                <w:rFonts w:eastAsia="Calibri"/>
                <w:color w:val="FF0000"/>
                <w:sz w:val="20"/>
                <w:szCs w:val="20"/>
              </w:rPr>
            </w:pPr>
          </w:p>
          <w:p w14:paraId="7F7E02B1" w14:textId="77777777" w:rsidR="001B2F93" w:rsidRPr="001B2F93" w:rsidRDefault="001B2F93" w:rsidP="001414F5">
            <w:pPr>
              <w:ind w:left="720"/>
              <w:contextualSpacing/>
              <w:jc w:val="both"/>
              <w:rPr>
                <w:rFonts w:eastAsia="Calibri"/>
                <w:color w:val="FF0000"/>
                <w:sz w:val="20"/>
                <w:szCs w:val="20"/>
              </w:rPr>
            </w:pPr>
          </w:p>
          <w:p w14:paraId="203A3F3B" w14:textId="77777777" w:rsidR="001B2F93" w:rsidRPr="001B2F93" w:rsidRDefault="001B2F93" w:rsidP="001414F5">
            <w:pPr>
              <w:ind w:left="720"/>
              <w:contextualSpacing/>
              <w:jc w:val="both"/>
              <w:rPr>
                <w:rFonts w:eastAsia="Calibri"/>
                <w:color w:val="FF0000"/>
                <w:sz w:val="20"/>
                <w:szCs w:val="20"/>
              </w:rPr>
            </w:pPr>
          </w:p>
          <w:p w14:paraId="759888E1" w14:textId="77777777" w:rsidR="001B2F93" w:rsidRPr="001B2F93" w:rsidRDefault="001B2F93" w:rsidP="001414F5">
            <w:pPr>
              <w:ind w:left="720"/>
              <w:contextualSpacing/>
              <w:jc w:val="both"/>
              <w:rPr>
                <w:rFonts w:eastAsia="Calibri"/>
                <w:color w:val="FF0000"/>
                <w:sz w:val="20"/>
                <w:szCs w:val="20"/>
              </w:rPr>
            </w:pPr>
          </w:p>
          <w:p w14:paraId="77C826C2" w14:textId="77777777" w:rsidR="001B2F93" w:rsidRPr="001B2F93" w:rsidRDefault="001B2F93" w:rsidP="001414F5">
            <w:pPr>
              <w:ind w:left="720"/>
              <w:contextualSpacing/>
              <w:jc w:val="both"/>
              <w:rPr>
                <w:rFonts w:eastAsia="Calibri"/>
                <w:color w:val="FF0000"/>
                <w:sz w:val="20"/>
                <w:szCs w:val="20"/>
              </w:rPr>
            </w:pPr>
          </w:p>
          <w:p w14:paraId="5483C69A" w14:textId="77777777" w:rsidR="001B2F93" w:rsidRPr="001B2F93" w:rsidRDefault="001B2F93" w:rsidP="001414F5">
            <w:pPr>
              <w:ind w:left="720"/>
              <w:contextualSpacing/>
              <w:jc w:val="both"/>
              <w:rPr>
                <w:rFonts w:eastAsia="Calibri"/>
                <w:color w:val="FF0000"/>
                <w:sz w:val="20"/>
                <w:szCs w:val="20"/>
              </w:rPr>
            </w:pPr>
          </w:p>
          <w:p w14:paraId="5E66F1F6" w14:textId="77777777" w:rsidR="001B2F93" w:rsidRPr="001B2F93" w:rsidRDefault="001B2F93" w:rsidP="001414F5">
            <w:pPr>
              <w:ind w:left="720"/>
              <w:contextualSpacing/>
              <w:jc w:val="both"/>
              <w:rPr>
                <w:rFonts w:eastAsia="Calibri"/>
                <w:color w:val="FF0000"/>
                <w:sz w:val="20"/>
                <w:szCs w:val="20"/>
              </w:rPr>
            </w:pPr>
          </w:p>
          <w:p w14:paraId="2E5D596A" w14:textId="77777777" w:rsidR="001B2F93" w:rsidRDefault="001B2F93" w:rsidP="00D26BCF">
            <w:pPr>
              <w:contextualSpacing/>
              <w:jc w:val="both"/>
              <w:rPr>
                <w:rFonts w:eastAsia="Calibri"/>
                <w:sz w:val="20"/>
                <w:szCs w:val="20"/>
              </w:rPr>
            </w:pPr>
            <w:r w:rsidRPr="00D26BCF">
              <w:rPr>
                <w:rFonts w:eastAsia="Calibri"/>
                <w:sz w:val="20"/>
                <w:szCs w:val="20"/>
              </w:rPr>
              <w:t>Regarding this requirement, the report talks about the contribution to the economy of the extractive sector for the year covered by the report. In addition, the Secretariat prepares a comparative study and a data dissemination bulletin covering the year of the report that speaks to the required information being disseminated.  A Data Dissemination Bulletin was done for the FY 2022 IA Report.</w:t>
            </w:r>
          </w:p>
          <w:p w14:paraId="3109EF6A" w14:textId="77777777" w:rsidR="00D26BCF" w:rsidRPr="00D26BCF" w:rsidRDefault="00D26BCF" w:rsidP="001414F5">
            <w:pPr>
              <w:ind w:left="720"/>
              <w:contextualSpacing/>
              <w:jc w:val="both"/>
              <w:rPr>
                <w:rFonts w:eastAsia="Calibri"/>
                <w:sz w:val="20"/>
                <w:szCs w:val="20"/>
              </w:rPr>
            </w:pPr>
          </w:p>
          <w:p w14:paraId="4E3BF253" w14:textId="77777777" w:rsidR="001B2F93" w:rsidRPr="001B2F93" w:rsidRDefault="001B2F93" w:rsidP="00D26BCF">
            <w:pPr>
              <w:contextualSpacing/>
              <w:jc w:val="both"/>
              <w:rPr>
                <w:rFonts w:eastAsia="Calibri"/>
                <w:color w:val="FF0000"/>
                <w:sz w:val="20"/>
                <w:szCs w:val="20"/>
              </w:rPr>
            </w:pPr>
            <w:r w:rsidRPr="00D26BCF">
              <w:rPr>
                <w:rFonts w:eastAsia="Calibri"/>
                <w:sz w:val="20"/>
                <w:szCs w:val="20"/>
              </w:rPr>
              <w:t>In 2026 the comparative data analyses  and data Bulletin  will be prepared based on the FY 23 report published in December 2025.</w:t>
            </w:r>
          </w:p>
        </w:tc>
      </w:tr>
      <w:tr w:rsidR="001B2F93" w:rsidRPr="001B2F93" w14:paraId="58611359" w14:textId="77777777" w:rsidTr="00A74514">
        <w:tc>
          <w:tcPr>
            <w:tcW w:w="4495" w:type="dxa"/>
          </w:tcPr>
          <w:p w14:paraId="7454A204" w14:textId="77777777" w:rsidR="001B2F93" w:rsidRPr="001B2F93" w:rsidRDefault="001B2F93" w:rsidP="001414F5">
            <w:pPr>
              <w:contextualSpacing/>
              <w:jc w:val="both"/>
              <w:rPr>
                <w:rFonts w:eastAsia="Calibri"/>
                <w:sz w:val="20"/>
                <w:szCs w:val="20"/>
              </w:rPr>
            </w:pPr>
            <w:r w:rsidRPr="001B2F93">
              <w:rPr>
                <w:rFonts w:eastAsia="Calibri"/>
                <w:sz w:val="20"/>
                <w:szCs w:val="20"/>
              </w:rPr>
              <w:lastRenderedPageBreak/>
              <w:t xml:space="preserve">7.1 Public debate. </w:t>
            </w:r>
          </w:p>
          <w:p w14:paraId="6DD86677" w14:textId="77777777" w:rsidR="001B2F93" w:rsidRPr="001B2F93" w:rsidRDefault="001B2F93" w:rsidP="001414F5">
            <w:pPr>
              <w:contextualSpacing/>
              <w:jc w:val="both"/>
              <w:rPr>
                <w:rFonts w:eastAsia="Calibri"/>
                <w:sz w:val="20"/>
                <w:szCs w:val="20"/>
              </w:rPr>
            </w:pPr>
            <w:r w:rsidRPr="001B2F93">
              <w:rPr>
                <w:rFonts w:eastAsia="Calibri"/>
                <w:sz w:val="20"/>
                <w:szCs w:val="20"/>
              </w:rPr>
              <w:t xml:space="preserve">The multi-stakeholder group must ensure that the EITI Report is comprehensible, actively promoted, publicly accessible, and contributes to public debate. Key audiences should include government, </w:t>
            </w:r>
            <w:r w:rsidRPr="001B6788">
              <w:rPr>
                <w:rFonts w:eastAsia="Calibri"/>
                <w:sz w:val="20"/>
                <w:szCs w:val="20"/>
              </w:rPr>
              <w:t xml:space="preserve">parliamentarians, civil society, companies, and the media. The multi-stakeholder group must: a) Produce </w:t>
            </w:r>
            <w:r w:rsidRPr="001B6788">
              <w:rPr>
                <w:rFonts w:eastAsia="Calibri"/>
                <w:sz w:val="20"/>
                <w:szCs w:val="20"/>
              </w:rPr>
              <w:lastRenderedPageBreak/>
              <w:t>paper copies of the EITI Report and ensure that they are widely distributed. The</w:t>
            </w:r>
            <w:r w:rsidRPr="001B2F93">
              <w:rPr>
                <w:rFonts w:eastAsia="Calibri"/>
                <w:sz w:val="20"/>
                <w:szCs w:val="20"/>
              </w:rPr>
              <w:t xml:space="preserve"> report contains extensive data, e.g., voluminous files, so the multi-stakeholder group is encouraged to make this available online. b) Agree on a clear policy on accessing, releasing, and re-using EITI data. Implementing countries are encouraged to publish EITI under an open license and inform users that information can be reused without prior consent. c) Make the EITI Report available online in an open data format (xlsx or csv) and publicize its availability. d) Ensure that the EITI Report is comprehensible, including writing in a clear, accessible style and inappropriate language.</w:t>
            </w:r>
          </w:p>
          <w:p w14:paraId="21DFDC8B" w14:textId="77777777" w:rsidR="001B2F93" w:rsidRPr="001B2F93" w:rsidRDefault="001B2F93" w:rsidP="001414F5">
            <w:pPr>
              <w:contextualSpacing/>
              <w:jc w:val="both"/>
              <w:rPr>
                <w:rFonts w:eastAsia="Calibri"/>
                <w:sz w:val="20"/>
                <w:szCs w:val="20"/>
              </w:rPr>
            </w:pPr>
            <w:r w:rsidRPr="001B2F93">
              <w:rPr>
                <w:rFonts w:eastAsia="Calibri"/>
                <w:sz w:val="20"/>
                <w:szCs w:val="20"/>
              </w:rPr>
              <w:t>e) Ensure that outreach events are organized by the government, civil society, or companies to spread awareness of and facilitate dialogue about the EITI Report across the country.</w:t>
            </w:r>
          </w:p>
          <w:p w14:paraId="241C76F9" w14:textId="77777777" w:rsidR="001B2F93" w:rsidRPr="001B2F93" w:rsidRDefault="001B2F93" w:rsidP="001414F5">
            <w:pPr>
              <w:contextualSpacing/>
              <w:jc w:val="both"/>
              <w:rPr>
                <w:rFonts w:eastAsia="Calibri"/>
                <w:sz w:val="20"/>
                <w:szCs w:val="20"/>
              </w:rPr>
            </w:pPr>
            <w:r w:rsidRPr="001B2F93">
              <w:rPr>
                <w:rFonts w:eastAsia="Calibri"/>
                <w:sz w:val="20"/>
                <w:szCs w:val="20"/>
              </w:rPr>
              <w:t>7.2 Data accessibility. The multi-stakeholder group is encouraged to make EITI Reports machine-readable and code or tag EITI Reports and data files to compare the information with other publicly available data by adopting Board-approved EITI data standards. As per Requirement 5.1(b), the multi-stakeholder group is encouraged to reference national revenue classification systems and international standards such as the IMF Government Finance Statistics Manual. The multi-stakeholder group is encouraged to a) Produce summary reports with clear and balanced analysis of the information, ensuring that the authorship of different elements of the EITI Report is clearly stated. b) Summarize and compare the share of each revenue stream to the total amount of revenue that accrues to each respective level of government. c) Where legally and technically feasible, continuously consider automated online disclosure of extractive revenues and payments by governments and companies. This may include cases where extractive revenue data is already published regularly by the government or where national taxation systems are trending towards online tax assessments and payments. Such continuous government reporting could be considered interim reporting and an integral feature of the national EITI process, captured by the annual reconciled EITI Report. d) Undertake capacity-building efforts, especially with civil society and through civil society organizations, to increase awareness of the process, improve understanding of the information and data from the reports, and encourage the use of the information by citizens, the media, and others.</w:t>
            </w:r>
          </w:p>
          <w:p w14:paraId="730CE3F4" w14:textId="77777777" w:rsidR="001B2F93" w:rsidRPr="001B2F93" w:rsidRDefault="001B2F93" w:rsidP="001414F5">
            <w:pPr>
              <w:contextualSpacing/>
              <w:jc w:val="both"/>
              <w:rPr>
                <w:rFonts w:eastAsia="Calibri"/>
                <w:sz w:val="20"/>
                <w:szCs w:val="20"/>
              </w:rPr>
            </w:pPr>
            <w:r w:rsidRPr="001B2F93">
              <w:rPr>
                <w:rFonts w:eastAsia="Calibri"/>
                <w:sz w:val="20"/>
                <w:szCs w:val="20"/>
              </w:rPr>
              <w:t xml:space="preserve">7.3 Discrepancies and recommendations from EITI Reports. To strengthen the impact of EITI implementation on natural resource governance, as per Requirement 7.4, the multi-stakeholder group is </w:t>
            </w:r>
            <w:r w:rsidRPr="001B2F93">
              <w:rPr>
                <w:rFonts w:eastAsia="Calibri"/>
                <w:sz w:val="20"/>
                <w:szCs w:val="20"/>
              </w:rPr>
              <w:lastRenderedPageBreak/>
              <w:t xml:space="preserve">required to take steps to act upon lessons learned; to identify, investigate and address the causes of any discrepancies; and to consider the recommendations resulting from EITI reporting. </w:t>
            </w:r>
          </w:p>
          <w:p w14:paraId="5091FC01" w14:textId="77777777" w:rsidR="001B2F93" w:rsidRPr="001B2F93" w:rsidRDefault="001B2F93" w:rsidP="001414F5">
            <w:pPr>
              <w:contextualSpacing/>
              <w:jc w:val="both"/>
              <w:rPr>
                <w:rFonts w:eastAsia="Calibri"/>
                <w:sz w:val="20"/>
                <w:szCs w:val="20"/>
              </w:rPr>
            </w:pPr>
            <w:r w:rsidRPr="001B2F93">
              <w:rPr>
                <w:rFonts w:eastAsia="Calibri"/>
                <w:sz w:val="20"/>
                <w:szCs w:val="20"/>
              </w:rPr>
              <w:t>7.4 Review the outcomes and impact of EITI implementation. The multi-stakeholder group is required to review the outcomes and impact of EITI implementation on natural resource governance.</w:t>
            </w:r>
          </w:p>
          <w:p w14:paraId="0B7D8FA7" w14:textId="77777777" w:rsidR="001B2F93" w:rsidRPr="001B2F93" w:rsidRDefault="001B2F93" w:rsidP="001414F5">
            <w:pPr>
              <w:contextualSpacing/>
              <w:jc w:val="both"/>
              <w:rPr>
                <w:rFonts w:eastAsia="Calibri"/>
                <w:sz w:val="20"/>
                <w:szCs w:val="20"/>
              </w:rPr>
            </w:pPr>
            <w:r w:rsidRPr="001B2F93">
              <w:rPr>
                <w:rFonts w:eastAsia="Calibri"/>
                <w:sz w:val="20"/>
                <w:szCs w:val="20"/>
              </w:rPr>
              <w:t xml:space="preserve">a) The multi-stakeholder group is required to publish annual progress reports.5 The annual progress reports must include </w:t>
            </w:r>
            <w:proofErr w:type="spellStart"/>
            <w:r w:rsidRPr="001B2F93">
              <w:rPr>
                <w:rFonts w:eastAsia="Calibri"/>
                <w:sz w:val="20"/>
                <w:szCs w:val="20"/>
              </w:rPr>
              <w:t>i</w:t>
            </w:r>
            <w:proofErr w:type="spellEnd"/>
            <w:r w:rsidRPr="001B2F93">
              <w:rPr>
                <w:rFonts w:eastAsia="Calibri"/>
                <w:sz w:val="20"/>
                <w:szCs w:val="20"/>
              </w:rPr>
              <w:t>. A summary of EITI activities undertaken in the previous year.</w:t>
            </w:r>
          </w:p>
        </w:tc>
        <w:tc>
          <w:tcPr>
            <w:tcW w:w="5400" w:type="dxa"/>
          </w:tcPr>
          <w:p w14:paraId="7606EC94" w14:textId="46A64974" w:rsidR="000467F1" w:rsidRDefault="000467F1" w:rsidP="000467F1">
            <w:pPr>
              <w:contextualSpacing/>
              <w:jc w:val="both"/>
            </w:pPr>
            <w:hyperlink r:id="rId40" w:history="1">
              <w:r w:rsidRPr="000467F1">
                <w:rPr>
                  <w:rStyle w:val="Hyperlink"/>
                  <w:rFonts w:eastAsia="Calibri"/>
                  <w:b/>
                  <w:bCs/>
                  <w:sz w:val="20"/>
                  <w:szCs w:val="20"/>
                </w:rPr>
                <w:t>Outreach Engagements and Awareness Activities</w:t>
              </w:r>
            </w:hyperlink>
          </w:p>
          <w:p w14:paraId="08EEBF0C" w14:textId="77777777" w:rsidR="003A179B" w:rsidRPr="000467F1" w:rsidRDefault="003A179B" w:rsidP="000467F1">
            <w:pPr>
              <w:contextualSpacing/>
              <w:jc w:val="both"/>
              <w:rPr>
                <w:rFonts w:eastAsia="Calibri"/>
                <w:b/>
                <w:bCs/>
                <w:sz w:val="20"/>
                <w:szCs w:val="20"/>
              </w:rPr>
            </w:pPr>
          </w:p>
          <w:p w14:paraId="02AEF091" w14:textId="77777777" w:rsidR="000467F1" w:rsidRPr="000467F1" w:rsidRDefault="000467F1" w:rsidP="000467F1">
            <w:pPr>
              <w:contextualSpacing/>
              <w:jc w:val="both"/>
              <w:rPr>
                <w:rFonts w:eastAsia="Calibri"/>
                <w:sz w:val="20"/>
                <w:szCs w:val="20"/>
              </w:rPr>
            </w:pPr>
            <w:r w:rsidRPr="000467F1">
              <w:rPr>
                <w:rFonts w:eastAsia="Calibri"/>
                <w:sz w:val="20"/>
                <w:szCs w:val="20"/>
              </w:rPr>
              <w:t xml:space="preserve">In keeping with Requirement 7.1 of the 2023 EITI Standard, GYEITI’s outreach and awareness activities in 2025 built upon the groundwork established in previous years. The Secretariat engaged a wide range of stakeholders, including miners, </w:t>
            </w:r>
            <w:r w:rsidRPr="000467F1">
              <w:rPr>
                <w:rFonts w:eastAsia="Calibri"/>
                <w:sz w:val="20"/>
                <w:szCs w:val="20"/>
              </w:rPr>
              <w:lastRenderedPageBreak/>
              <w:t>secondary school students, youths involved in the Ministry of Natural Resources’ programs, and government entities.</w:t>
            </w:r>
          </w:p>
          <w:p w14:paraId="37DCFAD4" w14:textId="77777777" w:rsidR="00B428A0" w:rsidRDefault="00B428A0" w:rsidP="000467F1">
            <w:pPr>
              <w:contextualSpacing/>
              <w:jc w:val="both"/>
              <w:rPr>
                <w:rFonts w:eastAsia="Calibri"/>
                <w:sz w:val="20"/>
                <w:szCs w:val="20"/>
              </w:rPr>
            </w:pPr>
          </w:p>
          <w:p w14:paraId="0C4F9577" w14:textId="0B281DB2" w:rsidR="000467F1" w:rsidRDefault="000467F1" w:rsidP="000467F1">
            <w:pPr>
              <w:contextualSpacing/>
              <w:jc w:val="both"/>
              <w:rPr>
                <w:rFonts w:eastAsia="Calibri"/>
                <w:sz w:val="20"/>
                <w:szCs w:val="20"/>
              </w:rPr>
            </w:pPr>
            <w:r w:rsidRPr="000467F1">
              <w:rPr>
                <w:rFonts w:eastAsia="Calibri"/>
                <w:sz w:val="20"/>
                <w:szCs w:val="20"/>
              </w:rPr>
              <w:t xml:space="preserve">At each engagement, participants were introduced to the EITI—its origin, objectives, and benefits for participating countries—as well as the </w:t>
            </w:r>
            <w:r w:rsidR="00B428A0" w:rsidRPr="000467F1">
              <w:rPr>
                <w:rFonts w:eastAsia="Calibri"/>
                <w:sz w:val="20"/>
                <w:szCs w:val="20"/>
              </w:rPr>
              <w:t>GYEITI’ s</w:t>
            </w:r>
            <w:r w:rsidRPr="000467F1">
              <w:rPr>
                <w:rFonts w:eastAsia="Calibri"/>
                <w:sz w:val="20"/>
                <w:szCs w:val="20"/>
              </w:rPr>
              <w:t xml:space="preserve"> mandate, and the composition, roles, and functions of the Multi-Stakeholder Group (MSG) in implementing the EITI Standard.</w:t>
            </w:r>
          </w:p>
          <w:p w14:paraId="7F0DADF1" w14:textId="77777777" w:rsidR="004E13D0" w:rsidRPr="000467F1" w:rsidRDefault="004E13D0" w:rsidP="000467F1">
            <w:pPr>
              <w:contextualSpacing/>
              <w:jc w:val="both"/>
              <w:rPr>
                <w:rFonts w:eastAsia="Calibri"/>
                <w:sz w:val="20"/>
                <w:szCs w:val="20"/>
              </w:rPr>
            </w:pPr>
          </w:p>
          <w:p w14:paraId="64259ED8" w14:textId="77777777" w:rsidR="000467F1" w:rsidRDefault="000467F1" w:rsidP="000467F1">
            <w:pPr>
              <w:contextualSpacing/>
              <w:jc w:val="both"/>
              <w:rPr>
                <w:rFonts w:eastAsia="Calibri"/>
                <w:sz w:val="20"/>
                <w:szCs w:val="20"/>
              </w:rPr>
            </w:pPr>
            <w:r w:rsidRPr="000467F1">
              <w:rPr>
                <w:rFonts w:eastAsia="Calibri"/>
                <w:sz w:val="20"/>
                <w:szCs w:val="20"/>
              </w:rPr>
              <w:t>Discussions included data from previous GYEITI Reports to provide context on trends, achievements, and areas needing improvement. Sessions also focused on key concepts such as the Natural Resource Curse and Dutch Disease, their avoidance, and how EITI implementation helps mitigate these risks. The principles of transparency and accountability in the extractive sector formed the foundation of the dialogues.</w:t>
            </w:r>
          </w:p>
          <w:p w14:paraId="33BF5C1F" w14:textId="77777777" w:rsidR="004E13D0" w:rsidRPr="000467F1" w:rsidRDefault="004E13D0" w:rsidP="000467F1">
            <w:pPr>
              <w:contextualSpacing/>
              <w:jc w:val="both"/>
              <w:rPr>
                <w:rFonts w:eastAsia="Calibri"/>
                <w:sz w:val="20"/>
                <w:szCs w:val="20"/>
              </w:rPr>
            </w:pPr>
          </w:p>
          <w:p w14:paraId="379EA59A" w14:textId="77777777" w:rsidR="00505AF5" w:rsidRDefault="000467F1" w:rsidP="000467F1">
            <w:pPr>
              <w:contextualSpacing/>
              <w:jc w:val="both"/>
              <w:rPr>
                <w:rFonts w:eastAsia="Calibri"/>
                <w:sz w:val="20"/>
                <w:szCs w:val="20"/>
              </w:rPr>
            </w:pPr>
            <w:r w:rsidRPr="000467F1">
              <w:rPr>
                <w:rFonts w:eastAsia="Calibri"/>
                <w:sz w:val="20"/>
                <w:szCs w:val="20"/>
              </w:rPr>
              <w:t xml:space="preserve">The key output of these engagements was a more informed participant group, with a stronger understanding of </w:t>
            </w:r>
            <w:r w:rsidR="00505AF5" w:rsidRPr="000467F1">
              <w:rPr>
                <w:rFonts w:eastAsia="Calibri"/>
                <w:sz w:val="20"/>
                <w:szCs w:val="20"/>
              </w:rPr>
              <w:t>GYEITI’ s</w:t>
            </w:r>
            <w:r w:rsidRPr="000467F1">
              <w:rPr>
                <w:rFonts w:eastAsia="Calibri"/>
                <w:sz w:val="20"/>
                <w:szCs w:val="20"/>
              </w:rPr>
              <w:t xml:space="preserve"> functions and the implications of not adhering to EITI standards. Vibrant Q&amp;A sessions clarified misconceptions arising from misinformation in the public domain. </w:t>
            </w:r>
          </w:p>
          <w:p w14:paraId="3222BE10" w14:textId="77777777" w:rsidR="00505AF5" w:rsidRDefault="00505AF5" w:rsidP="000467F1">
            <w:pPr>
              <w:contextualSpacing/>
              <w:jc w:val="both"/>
              <w:rPr>
                <w:rFonts w:eastAsia="Calibri"/>
                <w:sz w:val="20"/>
                <w:szCs w:val="20"/>
              </w:rPr>
            </w:pPr>
          </w:p>
          <w:p w14:paraId="124BA02D" w14:textId="6B59693D" w:rsidR="000467F1" w:rsidRPr="000467F1" w:rsidRDefault="000467F1" w:rsidP="000467F1">
            <w:pPr>
              <w:contextualSpacing/>
              <w:jc w:val="both"/>
              <w:rPr>
                <w:rFonts w:eastAsia="Calibri"/>
                <w:sz w:val="20"/>
                <w:szCs w:val="20"/>
              </w:rPr>
            </w:pPr>
            <w:r w:rsidRPr="000467F1">
              <w:rPr>
                <w:rFonts w:eastAsia="Calibri"/>
                <w:sz w:val="20"/>
                <w:szCs w:val="20"/>
              </w:rPr>
              <w:t xml:space="preserve">In 2026, the Secretariat plans to build on this foundational awareness, focusing on specific topics to foster deeper dialogue and contributions to </w:t>
            </w:r>
            <w:r w:rsidR="004042F4" w:rsidRPr="000467F1">
              <w:rPr>
                <w:rFonts w:eastAsia="Calibri"/>
                <w:sz w:val="20"/>
                <w:szCs w:val="20"/>
              </w:rPr>
              <w:t>GYEITI’ s</w:t>
            </w:r>
            <w:r w:rsidRPr="000467F1">
              <w:rPr>
                <w:rFonts w:eastAsia="Calibri"/>
                <w:sz w:val="20"/>
                <w:szCs w:val="20"/>
              </w:rPr>
              <w:t xml:space="preserve"> work.</w:t>
            </w:r>
          </w:p>
          <w:p w14:paraId="4E62C351" w14:textId="77777777" w:rsidR="004042F4" w:rsidRDefault="004042F4" w:rsidP="000467F1">
            <w:pPr>
              <w:contextualSpacing/>
              <w:jc w:val="both"/>
              <w:rPr>
                <w:rFonts w:eastAsia="Calibri"/>
                <w:sz w:val="20"/>
                <w:szCs w:val="20"/>
              </w:rPr>
            </w:pPr>
          </w:p>
          <w:p w14:paraId="661BA1FA" w14:textId="1FB457D2" w:rsidR="000467F1" w:rsidRPr="000467F1" w:rsidRDefault="000467F1" w:rsidP="000467F1">
            <w:pPr>
              <w:contextualSpacing/>
              <w:jc w:val="both"/>
              <w:rPr>
                <w:rFonts w:eastAsia="Calibri"/>
                <w:sz w:val="20"/>
                <w:szCs w:val="20"/>
              </w:rPr>
            </w:pPr>
            <w:r w:rsidRPr="000467F1">
              <w:rPr>
                <w:rFonts w:eastAsia="Calibri"/>
                <w:b/>
                <w:bCs/>
                <w:sz w:val="20"/>
                <w:szCs w:val="20"/>
              </w:rPr>
              <w:t>Key Stakeholder Engagements in 2025</w:t>
            </w:r>
            <w:r w:rsidR="00476A8B">
              <w:rPr>
                <w:rFonts w:eastAsia="Calibri"/>
                <w:b/>
                <w:bCs/>
                <w:sz w:val="20"/>
                <w:szCs w:val="20"/>
              </w:rPr>
              <w:t>:</w:t>
            </w:r>
          </w:p>
          <w:p w14:paraId="4D21EEA1" w14:textId="77777777" w:rsidR="000467F1" w:rsidRPr="000467F1" w:rsidRDefault="000467F1" w:rsidP="000467F1">
            <w:pPr>
              <w:numPr>
                <w:ilvl w:val="0"/>
                <w:numId w:val="106"/>
              </w:numPr>
              <w:tabs>
                <w:tab w:val="num" w:pos="720"/>
              </w:tabs>
              <w:contextualSpacing/>
              <w:jc w:val="both"/>
              <w:rPr>
                <w:rFonts w:eastAsia="Calibri"/>
                <w:sz w:val="20"/>
                <w:szCs w:val="20"/>
              </w:rPr>
            </w:pPr>
            <w:r w:rsidRPr="000467F1">
              <w:rPr>
                <w:rFonts w:eastAsia="Calibri"/>
                <w:b/>
                <w:bCs/>
                <w:sz w:val="20"/>
                <w:szCs w:val="20"/>
              </w:rPr>
              <w:t>Engagement with GGDMA and ABCE Diplomats</w:t>
            </w:r>
          </w:p>
          <w:p w14:paraId="0EFF3F79" w14:textId="7AE640E5" w:rsidR="00DA54A9" w:rsidRPr="00DA54A9" w:rsidRDefault="00DA54A9" w:rsidP="00DA54A9">
            <w:pPr>
              <w:numPr>
                <w:ilvl w:val="1"/>
                <w:numId w:val="106"/>
              </w:numPr>
              <w:contextualSpacing/>
              <w:jc w:val="both"/>
              <w:rPr>
                <w:rFonts w:eastAsia="Calibri"/>
                <w:sz w:val="20"/>
                <w:szCs w:val="20"/>
              </w:rPr>
            </w:pPr>
            <w:r w:rsidRPr="00DA54A9">
              <w:rPr>
                <w:rFonts w:eastAsia="Calibri"/>
                <w:b/>
                <w:bCs/>
                <w:sz w:val="20"/>
                <w:szCs w:val="20"/>
              </w:rPr>
              <w:t>GGDMA:</w:t>
            </w:r>
            <w:r w:rsidRPr="00DA54A9">
              <w:rPr>
                <w:rFonts w:eastAsia="Calibri"/>
                <w:sz w:val="20"/>
                <w:szCs w:val="20"/>
              </w:rPr>
              <w:t xml:space="preserve"> Held at the GGDMA office, this session introduced the EITI framework, GYEITI operations, and data from previous reports to key miners and industry representatives.</w:t>
            </w:r>
          </w:p>
          <w:p w14:paraId="7132B07D" w14:textId="025638C0" w:rsidR="00DA54A9" w:rsidRPr="00DA54A9" w:rsidRDefault="00DA54A9" w:rsidP="00DA54A9">
            <w:pPr>
              <w:numPr>
                <w:ilvl w:val="1"/>
                <w:numId w:val="106"/>
              </w:numPr>
              <w:contextualSpacing/>
              <w:jc w:val="both"/>
              <w:rPr>
                <w:rFonts w:eastAsia="Calibri"/>
                <w:sz w:val="20"/>
                <w:szCs w:val="20"/>
              </w:rPr>
            </w:pPr>
            <w:r w:rsidRPr="00DA54A9">
              <w:rPr>
                <w:rFonts w:eastAsia="Calibri"/>
                <w:b/>
                <w:bCs/>
                <w:sz w:val="20"/>
                <w:szCs w:val="20"/>
              </w:rPr>
              <w:t>ABCE Diplomats:</w:t>
            </w:r>
            <w:r w:rsidRPr="00DA54A9">
              <w:rPr>
                <w:rFonts w:eastAsia="Calibri"/>
                <w:sz w:val="20"/>
                <w:szCs w:val="20"/>
              </w:rPr>
              <w:t xml:space="preserve"> Held at the BHC residence, this session introduced the EITI framework, GYEITI operations, and data from previous reports to key diplomats and industry representatives.</w:t>
            </w:r>
          </w:p>
          <w:p w14:paraId="2151CB76" w14:textId="77777777" w:rsidR="000467F1" w:rsidRPr="000467F1" w:rsidRDefault="000467F1" w:rsidP="00B0381D">
            <w:pPr>
              <w:numPr>
                <w:ilvl w:val="0"/>
                <w:numId w:val="106"/>
              </w:numPr>
              <w:contextualSpacing/>
              <w:jc w:val="both"/>
              <w:rPr>
                <w:rFonts w:eastAsia="Calibri"/>
                <w:sz w:val="20"/>
                <w:szCs w:val="20"/>
              </w:rPr>
            </w:pPr>
            <w:r w:rsidRPr="000467F1">
              <w:rPr>
                <w:rFonts w:eastAsia="Calibri"/>
                <w:b/>
                <w:bCs/>
                <w:sz w:val="20"/>
                <w:szCs w:val="20"/>
              </w:rPr>
              <w:t>Engagement with the Financial Intelligence Unit (FIU)</w:t>
            </w:r>
          </w:p>
          <w:p w14:paraId="1A0D5BB2" w14:textId="7786E096" w:rsidR="00E77C86" w:rsidRPr="00E77C86" w:rsidRDefault="00E77C86" w:rsidP="00E77C86">
            <w:pPr>
              <w:numPr>
                <w:ilvl w:val="1"/>
                <w:numId w:val="106"/>
              </w:numPr>
              <w:contextualSpacing/>
              <w:jc w:val="both"/>
              <w:rPr>
                <w:rFonts w:eastAsia="Calibri"/>
                <w:sz w:val="20"/>
                <w:szCs w:val="20"/>
              </w:rPr>
            </w:pPr>
            <w:r w:rsidRPr="00E77C86">
              <w:rPr>
                <w:rFonts w:eastAsia="Calibri"/>
                <w:sz w:val="20"/>
                <w:szCs w:val="20"/>
              </w:rPr>
              <w:t>Initial and follow-up meetings were held with the FIU leadership in May 2025, building on preliminary discussions with the GYEITI Secretariat.</w:t>
            </w:r>
          </w:p>
          <w:p w14:paraId="0D836B9F" w14:textId="5737BB10" w:rsidR="00E77C86" w:rsidRPr="00E77C86" w:rsidRDefault="00E77C86" w:rsidP="00E77C86">
            <w:pPr>
              <w:numPr>
                <w:ilvl w:val="1"/>
                <w:numId w:val="106"/>
              </w:numPr>
              <w:contextualSpacing/>
              <w:jc w:val="both"/>
              <w:rPr>
                <w:rFonts w:eastAsia="Calibri"/>
                <w:sz w:val="20"/>
                <w:szCs w:val="20"/>
              </w:rPr>
            </w:pPr>
            <w:r w:rsidRPr="00E77C86">
              <w:rPr>
                <w:rFonts w:eastAsia="Calibri"/>
                <w:sz w:val="20"/>
                <w:szCs w:val="20"/>
              </w:rPr>
              <w:t>The FIU, established under the Money Laundering Prevention Act (2000) and governed by the 2009 AML/CFT Act, is responsible for requesting, receiving, analyzing, and disseminating information on suspicious transactions, money laundering, terrorist financing, and proceeds of crime.</w:t>
            </w:r>
          </w:p>
          <w:p w14:paraId="05C46FD5" w14:textId="321DA459" w:rsidR="00E77C86" w:rsidRPr="00E77C86" w:rsidRDefault="00E77C86" w:rsidP="00E77C86">
            <w:pPr>
              <w:numPr>
                <w:ilvl w:val="1"/>
                <w:numId w:val="106"/>
              </w:numPr>
              <w:contextualSpacing/>
              <w:jc w:val="both"/>
              <w:rPr>
                <w:rFonts w:eastAsia="Calibri"/>
                <w:sz w:val="20"/>
                <w:szCs w:val="20"/>
              </w:rPr>
            </w:pPr>
            <w:r w:rsidRPr="00E77C86">
              <w:rPr>
                <w:rFonts w:eastAsia="Calibri"/>
                <w:sz w:val="20"/>
                <w:szCs w:val="20"/>
              </w:rPr>
              <w:t>While their core functions differ, the FIU and GYEITI share common objectives of promoting transparency and accountability, adhering to international standards, and undergoing periodic evaluations.</w:t>
            </w:r>
          </w:p>
          <w:p w14:paraId="5C02F347" w14:textId="0D31BCE5" w:rsidR="00E77C86" w:rsidRPr="00E77C86" w:rsidRDefault="00E77C86" w:rsidP="00E77C86">
            <w:pPr>
              <w:numPr>
                <w:ilvl w:val="1"/>
                <w:numId w:val="106"/>
              </w:numPr>
              <w:contextualSpacing/>
              <w:jc w:val="both"/>
              <w:rPr>
                <w:rFonts w:eastAsia="Calibri"/>
                <w:sz w:val="20"/>
                <w:szCs w:val="20"/>
              </w:rPr>
            </w:pPr>
            <w:r w:rsidRPr="00E77C86">
              <w:rPr>
                <w:rFonts w:eastAsia="Calibri"/>
                <w:sz w:val="20"/>
                <w:szCs w:val="20"/>
              </w:rPr>
              <w:lastRenderedPageBreak/>
              <w:t>These engagements resulted in an agreement to explore collaboration, particularly to strengthen Beneficial Ownership (BO) transparency and align with Guyana’s regulatory obligations.</w:t>
            </w:r>
          </w:p>
          <w:p w14:paraId="04A4292E" w14:textId="77777777" w:rsidR="000467F1" w:rsidRPr="000467F1" w:rsidRDefault="000467F1" w:rsidP="000467F1">
            <w:pPr>
              <w:numPr>
                <w:ilvl w:val="0"/>
                <w:numId w:val="106"/>
              </w:numPr>
              <w:tabs>
                <w:tab w:val="num" w:pos="720"/>
              </w:tabs>
              <w:contextualSpacing/>
              <w:jc w:val="both"/>
              <w:rPr>
                <w:rFonts w:eastAsia="Calibri"/>
                <w:sz w:val="20"/>
                <w:szCs w:val="20"/>
              </w:rPr>
            </w:pPr>
            <w:r w:rsidRPr="000467F1">
              <w:rPr>
                <w:rFonts w:eastAsia="Calibri"/>
                <w:b/>
                <w:bCs/>
                <w:sz w:val="20"/>
                <w:szCs w:val="20"/>
              </w:rPr>
              <w:t>Youth in Natural Resources Engagement</w:t>
            </w:r>
          </w:p>
          <w:p w14:paraId="28CC7E8A" w14:textId="77777777" w:rsidR="000467F1" w:rsidRPr="000467F1" w:rsidRDefault="000467F1" w:rsidP="000467F1">
            <w:pPr>
              <w:numPr>
                <w:ilvl w:val="1"/>
                <w:numId w:val="106"/>
              </w:numPr>
              <w:tabs>
                <w:tab w:val="num" w:pos="1440"/>
              </w:tabs>
              <w:contextualSpacing/>
              <w:jc w:val="both"/>
              <w:rPr>
                <w:rFonts w:eastAsia="Calibri"/>
                <w:sz w:val="20"/>
                <w:szCs w:val="20"/>
              </w:rPr>
            </w:pPr>
            <w:r w:rsidRPr="000467F1">
              <w:rPr>
                <w:rFonts w:eastAsia="Calibri"/>
                <w:sz w:val="20"/>
                <w:szCs w:val="20"/>
              </w:rPr>
              <w:t>Held on July 30, 2025, with 19 youth participants from various backgrounds.</w:t>
            </w:r>
          </w:p>
          <w:p w14:paraId="481F29C8" w14:textId="77777777" w:rsidR="000467F1" w:rsidRPr="000467F1" w:rsidRDefault="000467F1" w:rsidP="000467F1">
            <w:pPr>
              <w:numPr>
                <w:ilvl w:val="1"/>
                <w:numId w:val="106"/>
              </w:numPr>
              <w:tabs>
                <w:tab w:val="num" w:pos="1440"/>
              </w:tabs>
              <w:contextualSpacing/>
              <w:jc w:val="both"/>
              <w:rPr>
                <w:rFonts w:eastAsia="Calibri"/>
                <w:sz w:val="20"/>
                <w:szCs w:val="20"/>
              </w:rPr>
            </w:pPr>
            <w:r w:rsidRPr="000467F1">
              <w:rPr>
                <w:rFonts w:eastAsia="Calibri"/>
                <w:sz w:val="20"/>
                <w:szCs w:val="20"/>
              </w:rPr>
              <w:t>The session explained the EITI framework, Guyana’s reporting process, the role of key stakeholders, and the importance of transparency and accountability. Data from prior reports were discussed to illustrate impacts and trends.</w:t>
            </w:r>
          </w:p>
          <w:p w14:paraId="6E92B997" w14:textId="77777777" w:rsidR="000467F1" w:rsidRPr="000467F1" w:rsidRDefault="000467F1" w:rsidP="000467F1">
            <w:pPr>
              <w:numPr>
                <w:ilvl w:val="1"/>
                <w:numId w:val="106"/>
              </w:numPr>
              <w:tabs>
                <w:tab w:val="num" w:pos="1440"/>
              </w:tabs>
              <w:contextualSpacing/>
              <w:jc w:val="both"/>
              <w:rPr>
                <w:rFonts w:eastAsia="Calibri"/>
                <w:sz w:val="20"/>
                <w:szCs w:val="20"/>
              </w:rPr>
            </w:pPr>
            <w:r w:rsidRPr="000467F1">
              <w:rPr>
                <w:rFonts w:eastAsia="Calibri"/>
                <w:sz w:val="20"/>
                <w:szCs w:val="20"/>
              </w:rPr>
              <w:t>Interactive group sessions and breakout activities fostered understanding of data use, stakeholder responsibilities, and public accountability.</w:t>
            </w:r>
          </w:p>
          <w:p w14:paraId="0DE6D131" w14:textId="77777777" w:rsidR="000467F1" w:rsidRPr="000467F1" w:rsidRDefault="000467F1" w:rsidP="000467F1">
            <w:pPr>
              <w:numPr>
                <w:ilvl w:val="1"/>
                <w:numId w:val="106"/>
              </w:numPr>
              <w:tabs>
                <w:tab w:val="num" w:pos="1440"/>
              </w:tabs>
              <w:contextualSpacing/>
              <w:jc w:val="both"/>
              <w:rPr>
                <w:rFonts w:eastAsia="Calibri"/>
                <w:sz w:val="20"/>
                <w:szCs w:val="20"/>
              </w:rPr>
            </w:pPr>
            <w:r w:rsidRPr="000467F1">
              <w:rPr>
                <w:rFonts w:eastAsia="Calibri"/>
                <w:sz w:val="20"/>
                <w:szCs w:val="20"/>
              </w:rPr>
              <w:t>Participants gained appreciation for civic responsibility and natural resource governance. The Secretariat identified the need for expanded youth outreach through school clubs, regional workshops, and tailored materials.</w:t>
            </w:r>
          </w:p>
          <w:p w14:paraId="6AF3F7AD" w14:textId="77777777" w:rsidR="000467F1" w:rsidRPr="000467F1" w:rsidRDefault="000467F1" w:rsidP="000467F1">
            <w:pPr>
              <w:numPr>
                <w:ilvl w:val="0"/>
                <w:numId w:val="106"/>
              </w:numPr>
              <w:tabs>
                <w:tab w:val="num" w:pos="720"/>
              </w:tabs>
              <w:contextualSpacing/>
              <w:jc w:val="both"/>
              <w:rPr>
                <w:rFonts w:eastAsia="Calibri"/>
                <w:sz w:val="20"/>
                <w:szCs w:val="20"/>
              </w:rPr>
            </w:pPr>
            <w:r w:rsidRPr="000467F1">
              <w:rPr>
                <w:rFonts w:eastAsia="Calibri"/>
                <w:b/>
                <w:bCs/>
                <w:sz w:val="20"/>
                <w:szCs w:val="20"/>
              </w:rPr>
              <w:t>Engagement with the Ministry of Amerindian Affairs (MOAA)</w:t>
            </w:r>
          </w:p>
          <w:p w14:paraId="35B6B818" w14:textId="7E5F7C48" w:rsidR="00E956A9" w:rsidRPr="00E956A9" w:rsidRDefault="00E956A9" w:rsidP="00E956A9">
            <w:pPr>
              <w:numPr>
                <w:ilvl w:val="1"/>
                <w:numId w:val="106"/>
              </w:numPr>
              <w:tabs>
                <w:tab w:val="num" w:pos="1440"/>
              </w:tabs>
              <w:contextualSpacing/>
              <w:jc w:val="both"/>
              <w:rPr>
                <w:rFonts w:eastAsia="Calibri"/>
                <w:sz w:val="20"/>
                <w:szCs w:val="20"/>
              </w:rPr>
            </w:pPr>
            <w:r w:rsidRPr="00E956A9">
              <w:rPr>
                <w:rFonts w:eastAsia="Calibri"/>
                <w:sz w:val="20"/>
                <w:szCs w:val="20"/>
              </w:rPr>
              <w:t>Meetings were held on July 24, 2025, following earlier consultations with the MOAA communications officer and staff.</w:t>
            </w:r>
          </w:p>
          <w:p w14:paraId="12334F10" w14:textId="77777777" w:rsidR="006C72C5" w:rsidRPr="006C72C5" w:rsidRDefault="00E956A9" w:rsidP="006C72C5">
            <w:pPr>
              <w:numPr>
                <w:ilvl w:val="1"/>
                <w:numId w:val="106"/>
              </w:numPr>
              <w:tabs>
                <w:tab w:val="num" w:pos="1440"/>
              </w:tabs>
              <w:contextualSpacing/>
              <w:jc w:val="both"/>
              <w:rPr>
                <w:rFonts w:eastAsia="Calibri"/>
                <w:sz w:val="20"/>
                <w:szCs w:val="20"/>
              </w:rPr>
            </w:pPr>
            <w:r w:rsidRPr="00E956A9">
              <w:rPr>
                <w:rFonts w:eastAsia="Calibri"/>
                <w:sz w:val="20"/>
                <w:szCs w:val="20"/>
              </w:rPr>
              <w:t>Discussions focused on collaboration to support GYEITI reporting efforts, including the implementation of previous report recommendations and strengthening the involvement of Amerindian communities in extractive sector transparency and accountability initiatives.</w:t>
            </w:r>
            <w:r w:rsidR="006C72C5" w:rsidRPr="006C72C5">
              <w:rPr>
                <w:b/>
                <w:bCs/>
              </w:rPr>
              <w:t xml:space="preserve"> </w:t>
            </w:r>
          </w:p>
          <w:p w14:paraId="036C88D0" w14:textId="3669C18F" w:rsidR="006C72C5" w:rsidRPr="00430B6A" w:rsidRDefault="006C72C5" w:rsidP="00430B6A">
            <w:pPr>
              <w:pStyle w:val="ListParagraph"/>
              <w:numPr>
                <w:ilvl w:val="0"/>
                <w:numId w:val="106"/>
              </w:numPr>
              <w:jc w:val="both"/>
              <w:rPr>
                <w:rFonts w:eastAsia="Calibri"/>
                <w:sz w:val="20"/>
                <w:szCs w:val="20"/>
              </w:rPr>
            </w:pPr>
            <w:r w:rsidRPr="00430B6A">
              <w:rPr>
                <w:rFonts w:eastAsia="Calibri"/>
                <w:b/>
                <w:bCs/>
                <w:sz w:val="20"/>
                <w:szCs w:val="20"/>
              </w:rPr>
              <w:t>GYEITI Outreach with the Guyana Manufacturers and Services Association (GMSA)</w:t>
            </w:r>
          </w:p>
          <w:p w14:paraId="75C93940" w14:textId="77777777" w:rsidR="006C72C5" w:rsidRPr="006C72C5" w:rsidRDefault="006C72C5" w:rsidP="006C72C5">
            <w:pPr>
              <w:numPr>
                <w:ilvl w:val="1"/>
                <w:numId w:val="106"/>
              </w:numPr>
              <w:tabs>
                <w:tab w:val="num" w:pos="720"/>
                <w:tab w:val="num" w:pos="1440"/>
              </w:tabs>
              <w:contextualSpacing/>
              <w:jc w:val="both"/>
              <w:rPr>
                <w:rFonts w:eastAsia="Calibri"/>
                <w:sz w:val="20"/>
                <w:szCs w:val="20"/>
              </w:rPr>
            </w:pPr>
            <w:r w:rsidRPr="006C72C5">
              <w:rPr>
                <w:rFonts w:eastAsia="Calibri"/>
                <w:sz w:val="20"/>
                <w:szCs w:val="20"/>
              </w:rPr>
              <w:t>Held on 14 May 2025 in Georgetown.</w:t>
            </w:r>
          </w:p>
          <w:p w14:paraId="43A6341A" w14:textId="77777777" w:rsidR="006C72C5" w:rsidRPr="006C72C5" w:rsidRDefault="006C72C5" w:rsidP="006C72C5">
            <w:pPr>
              <w:numPr>
                <w:ilvl w:val="1"/>
                <w:numId w:val="106"/>
              </w:numPr>
              <w:tabs>
                <w:tab w:val="num" w:pos="720"/>
                <w:tab w:val="num" w:pos="1440"/>
              </w:tabs>
              <w:contextualSpacing/>
              <w:jc w:val="both"/>
              <w:rPr>
                <w:rFonts w:eastAsia="Calibri"/>
                <w:sz w:val="20"/>
                <w:szCs w:val="20"/>
              </w:rPr>
            </w:pPr>
            <w:r w:rsidRPr="006C72C5">
              <w:rPr>
                <w:rFonts w:eastAsia="Calibri"/>
                <w:sz w:val="20"/>
                <w:szCs w:val="20"/>
              </w:rPr>
              <w:t>The presentation covered the origin and development of the EITI, Dutch Disease, natural resource curse, transparency and accountability, EITI requirements, government disclosures, and validation processes.</w:t>
            </w:r>
          </w:p>
          <w:p w14:paraId="3DC14FE1" w14:textId="3AD5DDB4" w:rsidR="00E956A9" w:rsidRPr="00E956A9" w:rsidRDefault="006C72C5" w:rsidP="005D3C37">
            <w:pPr>
              <w:numPr>
                <w:ilvl w:val="1"/>
                <w:numId w:val="106"/>
              </w:numPr>
              <w:tabs>
                <w:tab w:val="num" w:pos="720"/>
                <w:tab w:val="num" w:pos="1440"/>
              </w:tabs>
              <w:contextualSpacing/>
              <w:jc w:val="both"/>
              <w:rPr>
                <w:rFonts w:eastAsia="Calibri"/>
                <w:sz w:val="20"/>
                <w:szCs w:val="20"/>
              </w:rPr>
            </w:pPr>
            <w:r w:rsidRPr="006C72C5">
              <w:rPr>
                <w:rFonts w:eastAsia="Calibri"/>
                <w:sz w:val="20"/>
                <w:szCs w:val="20"/>
              </w:rPr>
              <w:t>This session provided a platform to discuss GYEITI’s progress and share data from previous reports.</w:t>
            </w:r>
          </w:p>
          <w:p w14:paraId="1B7498A6" w14:textId="77777777" w:rsidR="000467F1" w:rsidRPr="000467F1" w:rsidRDefault="000467F1" w:rsidP="000467F1">
            <w:pPr>
              <w:numPr>
                <w:ilvl w:val="0"/>
                <w:numId w:val="106"/>
              </w:numPr>
              <w:tabs>
                <w:tab w:val="num" w:pos="720"/>
              </w:tabs>
              <w:contextualSpacing/>
              <w:jc w:val="both"/>
              <w:rPr>
                <w:rFonts w:eastAsia="Calibri"/>
                <w:sz w:val="20"/>
                <w:szCs w:val="20"/>
              </w:rPr>
            </w:pPr>
            <w:r w:rsidRPr="000467F1">
              <w:rPr>
                <w:rFonts w:eastAsia="Calibri"/>
                <w:b/>
                <w:bCs/>
                <w:sz w:val="20"/>
                <w:szCs w:val="20"/>
              </w:rPr>
              <w:t>Participation in Expositions and Fairs</w:t>
            </w:r>
          </w:p>
          <w:p w14:paraId="6310CB1B" w14:textId="77777777" w:rsidR="000467F1" w:rsidRPr="000467F1" w:rsidRDefault="000467F1" w:rsidP="000467F1">
            <w:pPr>
              <w:numPr>
                <w:ilvl w:val="1"/>
                <w:numId w:val="106"/>
              </w:numPr>
              <w:tabs>
                <w:tab w:val="num" w:pos="1440"/>
              </w:tabs>
              <w:contextualSpacing/>
              <w:jc w:val="both"/>
              <w:rPr>
                <w:rFonts w:eastAsia="Calibri"/>
                <w:sz w:val="20"/>
                <w:szCs w:val="20"/>
              </w:rPr>
            </w:pPr>
            <w:r w:rsidRPr="000467F1">
              <w:rPr>
                <w:rFonts w:eastAsia="Calibri"/>
                <w:sz w:val="20"/>
                <w:szCs w:val="20"/>
              </w:rPr>
              <w:t>Events included: Guyana Energy and Supply Chain Expo, Guyana Housing Expo, 2025 Berbice Expo, Gas-to-Energy Job Fair, and the 2025 Human Rights and Anti-Corruption Expo.</w:t>
            </w:r>
          </w:p>
          <w:p w14:paraId="164CAA7F" w14:textId="77777777" w:rsidR="000467F1" w:rsidRPr="000467F1" w:rsidRDefault="000467F1" w:rsidP="000467F1">
            <w:pPr>
              <w:numPr>
                <w:ilvl w:val="1"/>
                <w:numId w:val="106"/>
              </w:numPr>
              <w:tabs>
                <w:tab w:val="num" w:pos="1440"/>
              </w:tabs>
              <w:contextualSpacing/>
              <w:jc w:val="both"/>
              <w:rPr>
                <w:rFonts w:eastAsia="Calibri"/>
                <w:sz w:val="20"/>
                <w:szCs w:val="20"/>
              </w:rPr>
            </w:pPr>
            <w:r w:rsidRPr="000467F1">
              <w:rPr>
                <w:rFonts w:eastAsia="Calibri"/>
                <w:sz w:val="20"/>
                <w:szCs w:val="20"/>
              </w:rPr>
              <w:t>GYEITI’s participation aimed to raise awareness of the initiative, EITI Standards, and transparency practices.</w:t>
            </w:r>
          </w:p>
          <w:p w14:paraId="16357BE4" w14:textId="77777777" w:rsidR="000467F1" w:rsidRPr="000467F1" w:rsidRDefault="000467F1" w:rsidP="000467F1">
            <w:pPr>
              <w:numPr>
                <w:ilvl w:val="1"/>
                <w:numId w:val="106"/>
              </w:numPr>
              <w:tabs>
                <w:tab w:val="num" w:pos="1440"/>
              </w:tabs>
              <w:contextualSpacing/>
              <w:jc w:val="both"/>
              <w:rPr>
                <w:rFonts w:eastAsia="Calibri"/>
                <w:sz w:val="20"/>
                <w:szCs w:val="20"/>
              </w:rPr>
            </w:pPr>
            <w:r w:rsidRPr="000467F1">
              <w:rPr>
                <w:rFonts w:eastAsia="Calibri"/>
                <w:sz w:val="20"/>
                <w:szCs w:val="20"/>
              </w:rPr>
              <w:t>Over 500 brochures were distributed, interactive sessions were held, and prizes were awarded for quizzes.</w:t>
            </w:r>
          </w:p>
          <w:p w14:paraId="1CDEA4AF" w14:textId="77777777" w:rsidR="000467F1" w:rsidRPr="000467F1" w:rsidRDefault="000467F1" w:rsidP="000467F1">
            <w:pPr>
              <w:numPr>
                <w:ilvl w:val="0"/>
                <w:numId w:val="106"/>
              </w:numPr>
              <w:tabs>
                <w:tab w:val="num" w:pos="720"/>
              </w:tabs>
              <w:contextualSpacing/>
              <w:jc w:val="both"/>
              <w:rPr>
                <w:rFonts w:eastAsia="Calibri"/>
                <w:sz w:val="20"/>
                <w:szCs w:val="20"/>
              </w:rPr>
            </w:pPr>
            <w:r w:rsidRPr="000467F1">
              <w:rPr>
                <w:rFonts w:eastAsia="Calibri"/>
                <w:b/>
                <w:bCs/>
                <w:sz w:val="20"/>
                <w:szCs w:val="20"/>
              </w:rPr>
              <w:lastRenderedPageBreak/>
              <w:t>Engagement with Small Miners and Women Miners in Lethem</w:t>
            </w:r>
          </w:p>
          <w:p w14:paraId="246092A9" w14:textId="4987C13D" w:rsidR="000467F1" w:rsidRPr="000467F1" w:rsidRDefault="000467F1" w:rsidP="000467F1">
            <w:pPr>
              <w:numPr>
                <w:ilvl w:val="1"/>
                <w:numId w:val="106"/>
              </w:numPr>
              <w:tabs>
                <w:tab w:val="num" w:pos="1440"/>
              </w:tabs>
              <w:contextualSpacing/>
              <w:jc w:val="both"/>
              <w:rPr>
                <w:rFonts w:eastAsia="Calibri"/>
                <w:sz w:val="20"/>
                <w:szCs w:val="20"/>
              </w:rPr>
            </w:pPr>
            <w:r w:rsidRPr="000467F1">
              <w:rPr>
                <w:rFonts w:eastAsia="Calibri"/>
                <w:sz w:val="20"/>
                <w:szCs w:val="20"/>
              </w:rPr>
              <w:t xml:space="preserve">Outreach conducted November 13–15, 2025, targeting </w:t>
            </w:r>
            <w:r w:rsidR="00F77B14">
              <w:rPr>
                <w:rFonts w:eastAsia="Calibri"/>
                <w:sz w:val="20"/>
                <w:szCs w:val="20"/>
              </w:rPr>
              <w:t>several</w:t>
            </w:r>
            <w:r w:rsidRPr="000467F1">
              <w:rPr>
                <w:rFonts w:eastAsia="Calibri"/>
                <w:sz w:val="20"/>
                <w:szCs w:val="20"/>
              </w:rPr>
              <w:t xml:space="preserve"> participants, including small miners, women miners, and women in small business.</w:t>
            </w:r>
          </w:p>
          <w:p w14:paraId="27E72301" w14:textId="77777777" w:rsidR="000467F1" w:rsidRPr="000467F1" w:rsidRDefault="000467F1" w:rsidP="000467F1">
            <w:pPr>
              <w:numPr>
                <w:ilvl w:val="1"/>
                <w:numId w:val="106"/>
              </w:numPr>
              <w:tabs>
                <w:tab w:val="num" w:pos="1440"/>
              </w:tabs>
              <w:contextualSpacing/>
              <w:jc w:val="both"/>
              <w:rPr>
                <w:rFonts w:eastAsia="Calibri"/>
                <w:sz w:val="20"/>
                <w:szCs w:val="20"/>
              </w:rPr>
            </w:pPr>
            <w:r w:rsidRPr="000467F1">
              <w:rPr>
                <w:rFonts w:eastAsia="Calibri"/>
                <w:sz w:val="20"/>
                <w:szCs w:val="20"/>
              </w:rPr>
              <w:t>Sessions focused on enhancing awareness of GYEITI and implementing recommendations from Guyana’s first validation report for greater mining community engagement.</w:t>
            </w:r>
          </w:p>
          <w:p w14:paraId="6936AD62" w14:textId="77777777" w:rsidR="000467F1" w:rsidRPr="000467F1" w:rsidRDefault="000467F1" w:rsidP="000467F1">
            <w:pPr>
              <w:numPr>
                <w:ilvl w:val="1"/>
                <w:numId w:val="106"/>
              </w:numPr>
              <w:tabs>
                <w:tab w:val="num" w:pos="1440"/>
              </w:tabs>
              <w:contextualSpacing/>
              <w:jc w:val="both"/>
              <w:rPr>
                <w:rFonts w:eastAsia="Calibri"/>
                <w:sz w:val="20"/>
                <w:szCs w:val="20"/>
              </w:rPr>
            </w:pPr>
            <w:r w:rsidRPr="000467F1">
              <w:rPr>
                <w:rFonts w:eastAsia="Calibri"/>
                <w:sz w:val="20"/>
                <w:szCs w:val="20"/>
              </w:rPr>
              <w:t xml:space="preserve">Issues discussed included operations at </w:t>
            </w:r>
            <w:proofErr w:type="spellStart"/>
            <w:r w:rsidRPr="000467F1">
              <w:rPr>
                <w:rFonts w:eastAsia="Calibri"/>
                <w:sz w:val="20"/>
                <w:szCs w:val="20"/>
              </w:rPr>
              <w:t>Marudi</w:t>
            </w:r>
            <w:proofErr w:type="spellEnd"/>
            <w:r w:rsidRPr="000467F1">
              <w:rPr>
                <w:rFonts w:eastAsia="Calibri"/>
                <w:sz w:val="20"/>
                <w:szCs w:val="20"/>
              </w:rPr>
              <w:t xml:space="preserve"> Mountain, and it was recommended that the MSG propose a resolution to seek clarity from the Ministry of Natural Resources (MNR) and Guyana Geology &amp; Mines Commission (GGMC).</w:t>
            </w:r>
          </w:p>
          <w:p w14:paraId="71A68880" w14:textId="77777777" w:rsidR="000467F1" w:rsidRPr="000467F1" w:rsidRDefault="000467F1" w:rsidP="000467F1">
            <w:pPr>
              <w:numPr>
                <w:ilvl w:val="0"/>
                <w:numId w:val="106"/>
              </w:numPr>
              <w:tabs>
                <w:tab w:val="num" w:pos="720"/>
              </w:tabs>
              <w:contextualSpacing/>
              <w:jc w:val="both"/>
              <w:rPr>
                <w:rFonts w:eastAsia="Calibri"/>
                <w:sz w:val="20"/>
                <w:szCs w:val="20"/>
              </w:rPr>
            </w:pPr>
            <w:r w:rsidRPr="000467F1">
              <w:rPr>
                <w:rFonts w:eastAsia="Calibri"/>
                <w:b/>
                <w:bCs/>
                <w:sz w:val="20"/>
                <w:szCs w:val="20"/>
              </w:rPr>
              <w:t>Engagement with Women’s Chamber of Commerce and Industry</w:t>
            </w:r>
          </w:p>
          <w:p w14:paraId="1CCF9907" w14:textId="77777777" w:rsidR="000467F1" w:rsidRPr="000467F1" w:rsidRDefault="000467F1" w:rsidP="000467F1">
            <w:pPr>
              <w:numPr>
                <w:ilvl w:val="1"/>
                <w:numId w:val="106"/>
              </w:numPr>
              <w:tabs>
                <w:tab w:val="num" w:pos="1440"/>
              </w:tabs>
              <w:contextualSpacing/>
              <w:jc w:val="both"/>
              <w:rPr>
                <w:rFonts w:eastAsia="Calibri"/>
                <w:sz w:val="20"/>
                <w:szCs w:val="20"/>
              </w:rPr>
            </w:pPr>
            <w:r w:rsidRPr="000467F1">
              <w:rPr>
                <w:rFonts w:eastAsia="Calibri"/>
                <w:sz w:val="20"/>
                <w:szCs w:val="20"/>
              </w:rPr>
              <w:t>Held on April 17, 2025 (hybrid format), focusing on transparency, accountability, and gender in the extractive sector.</w:t>
            </w:r>
          </w:p>
          <w:p w14:paraId="632E6534" w14:textId="77777777" w:rsidR="000467F1" w:rsidRPr="000467F1" w:rsidRDefault="000467F1" w:rsidP="000467F1">
            <w:pPr>
              <w:numPr>
                <w:ilvl w:val="0"/>
                <w:numId w:val="106"/>
              </w:numPr>
              <w:tabs>
                <w:tab w:val="num" w:pos="720"/>
              </w:tabs>
              <w:contextualSpacing/>
              <w:jc w:val="both"/>
              <w:rPr>
                <w:rFonts w:eastAsia="Calibri"/>
                <w:sz w:val="20"/>
                <w:szCs w:val="20"/>
              </w:rPr>
            </w:pPr>
            <w:r w:rsidRPr="000467F1">
              <w:rPr>
                <w:rFonts w:eastAsia="Calibri"/>
                <w:b/>
                <w:bCs/>
                <w:sz w:val="20"/>
                <w:szCs w:val="20"/>
              </w:rPr>
              <w:t>Media Engagements and Capacity Building</w:t>
            </w:r>
          </w:p>
          <w:p w14:paraId="05ED568F" w14:textId="1538366A" w:rsidR="000467F1" w:rsidRPr="000467F1" w:rsidRDefault="000467F1" w:rsidP="000467F1">
            <w:pPr>
              <w:numPr>
                <w:ilvl w:val="1"/>
                <w:numId w:val="106"/>
              </w:numPr>
              <w:tabs>
                <w:tab w:val="num" w:pos="1440"/>
              </w:tabs>
              <w:contextualSpacing/>
              <w:jc w:val="both"/>
              <w:rPr>
                <w:rFonts w:eastAsia="Calibri"/>
                <w:sz w:val="20"/>
                <w:szCs w:val="20"/>
              </w:rPr>
            </w:pPr>
            <w:r w:rsidRPr="000467F1">
              <w:rPr>
                <w:rFonts w:eastAsia="Calibri"/>
                <w:sz w:val="20"/>
                <w:szCs w:val="20"/>
              </w:rPr>
              <w:t xml:space="preserve">EITI media workshop </w:t>
            </w:r>
            <w:r w:rsidR="0072012D" w:rsidRPr="000467F1">
              <w:rPr>
                <w:rFonts w:eastAsia="Calibri"/>
                <w:sz w:val="20"/>
                <w:szCs w:val="20"/>
              </w:rPr>
              <w:t>was conducted</w:t>
            </w:r>
            <w:r w:rsidRPr="000467F1">
              <w:rPr>
                <w:rFonts w:eastAsia="Calibri"/>
                <w:sz w:val="20"/>
                <w:szCs w:val="20"/>
              </w:rPr>
              <w:t xml:space="preserve"> on September 29, 2025, for 10 local media houses.</w:t>
            </w:r>
          </w:p>
          <w:p w14:paraId="7D1E572E" w14:textId="77777777" w:rsidR="000467F1" w:rsidRPr="000467F1" w:rsidRDefault="000467F1" w:rsidP="000467F1">
            <w:pPr>
              <w:numPr>
                <w:ilvl w:val="1"/>
                <w:numId w:val="106"/>
              </w:numPr>
              <w:tabs>
                <w:tab w:val="num" w:pos="1440"/>
              </w:tabs>
              <w:contextualSpacing/>
              <w:jc w:val="both"/>
              <w:rPr>
                <w:rFonts w:eastAsia="Calibri"/>
                <w:sz w:val="20"/>
                <w:szCs w:val="20"/>
              </w:rPr>
            </w:pPr>
            <w:r w:rsidRPr="000467F1">
              <w:rPr>
                <w:rFonts w:eastAsia="Calibri"/>
                <w:sz w:val="20"/>
                <w:szCs w:val="20"/>
              </w:rPr>
              <w:t xml:space="preserve">Facilitators included Dr. Priya </w:t>
            </w:r>
            <w:proofErr w:type="spellStart"/>
            <w:r w:rsidRPr="000467F1">
              <w:rPr>
                <w:rFonts w:eastAsia="Calibri"/>
                <w:sz w:val="20"/>
                <w:szCs w:val="20"/>
              </w:rPr>
              <w:t>Marajah</w:t>
            </w:r>
            <w:proofErr w:type="spellEnd"/>
            <w:r w:rsidRPr="000467F1">
              <w:rPr>
                <w:rFonts w:eastAsia="Calibri"/>
                <w:sz w:val="20"/>
                <w:szCs w:val="20"/>
              </w:rPr>
              <w:t xml:space="preserve"> and Sam Tokpah.</w:t>
            </w:r>
          </w:p>
          <w:p w14:paraId="10037880" w14:textId="77777777" w:rsidR="000467F1" w:rsidRPr="000467F1" w:rsidRDefault="000467F1" w:rsidP="000467F1">
            <w:pPr>
              <w:numPr>
                <w:ilvl w:val="1"/>
                <w:numId w:val="106"/>
              </w:numPr>
              <w:tabs>
                <w:tab w:val="num" w:pos="1440"/>
              </w:tabs>
              <w:contextualSpacing/>
              <w:jc w:val="both"/>
              <w:rPr>
                <w:rFonts w:eastAsia="Calibri"/>
                <w:sz w:val="20"/>
                <w:szCs w:val="20"/>
              </w:rPr>
            </w:pPr>
            <w:r w:rsidRPr="000467F1">
              <w:rPr>
                <w:rFonts w:eastAsia="Calibri"/>
                <w:sz w:val="20"/>
                <w:szCs w:val="20"/>
              </w:rPr>
              <w:t>Covered governance, legal frameworks, production and export data, revenue collection, beneficial ownership, and public access to information.</w:t>
            </w:r>
          </w:p>
          <w:p w14:paraId="7032727B" w14:textId="77777777" w:rsidR="000467F1" w:rsidRPr="000467F1" w:rsidRDefault="000467F1" w:rsidP="000467F1">
            <w:pPr>
              <w:numPr>
                <w:ilvl w:val="1"/>
                <w:numId w:val="106"/>
              </w:numPr>
              <w:tabs>
                <w:tab w:val="num" w:pos="1440"/>
              </w:tabs>
              <w:contextualSpacing/>
              <w:jc w:val="both"/>
              <w:rPr>
                <w:rFonts w:eastAsia="Calibri"/>
                <w:sz w:val="20"/>
                <w:szCs w:val="20"/>
              </w:rPr>
            </w:pPr>
            <w:r w:rsidRPr="000467F1">
              <w:rPr>
                <w:rFonts w:eastAsia="Calibri"/>
                <w:sz w:val="20"/>
                <w:szCs w:val="20"/>
              </w:rPr>
              <w:t>Sessions emphasized independent verification mechanisms and media’s role in accurate reporting.</w:t>
            </w:r>
          </w:p>
          <w:p w14:paraId="5A5ECA6C" w14:textId="77777777" w:rsidR="000467F1" w:rsidRPr="000467F1" w:rsidRDefault="000467F1" w:rsidP="000467F1">
            <w:pPr>
              <w:numPr>
                <w:ilvl w:val="0"/>
                <w:numId w:val="106"/>
              </w:numPr>
              <w:tabs>
                <w:tab w:val="num" w:pos="720"/>
              </w:tabs>
              <w:contextualSpacing/>
              <w:jc w:val="both"/>
              <w:rPr>
                <w:rFonts w:eastAsia="Calibri"/>
                <w:sz w:val="20"/>
                <w:szCs w:val="20"/>
              </w:rPr>
            </w:pPr>
            <w:r w:rsidRPr="000467F1">
              <w:rPr>
                <w:rFonts w:eastAsia="Calibri"/>
                <w:b/>
                <w:bCs/>
                <w:sz w:val="20"/>
                <w:szCs w:val="20"/>
              </w:rPr>
              <w:t>Enhanced Digital and Print Outreach</w:t>
            </w:r>
          </w:p>
          <w:p w14:paraId="01888740" w14:textId="77777777" w:rsidR="000467F1" w:rsidRPr="000467F1" w:rsidRDefault="000467F1" w:rsidP="000467F1">
            <w:pPr>
              <w:numPr>
                <w:ilvl w:val="1"/>
                <w:numId w:val="106"/>
              </w:numPr>
              <w:tabs>
                <w:tab w:val="num" w:pos="1440"/>
              </w:tabs>
              <w:contextualSpacing/>
              <w:jc w:val="both"/>
              <w:rPr>
                <w:rFonts w:eastAsia="Calibri"/>
                <w:sz w:val="20"/>
                <w:szCs w:val="20"/>
              </w:rPr>
            </w:pPr>
            <w:r w:rsidRPr="000467F1">
              <w:rPr>
                <w:rFonts w:eastAsia="Calibri"/>
                <w:sz w:val="20"/>
                <w:szCs w:val="20"/>
              </w:rPr>
              <w:t>Continued website improvements and content updates.</w:t>
            </w:r>
          </w:p>
          <w:p w14:paraId="6DB958F2" w14:textId="77777777" w:rsidR="000467F1" w:rsidRPr="000467F1" w:rsidRDefault="000467F1" w:rsidP="000467F1">
            <w:pPr>
              <w:numPr>
                <w:ilvl w:val="1"/>
                <w:numId w:val="106"/>
              </w:numPr>
              <w:tabs>
                <w:tab w:val="num" w:pos="1440"/>
              </w:tabs>
              <w:contextualSpacing/>
              <w:jc w:val="both"/>
              <w:rPr>
                <w:rFonts w:eastAsia="Calibri"/>
                <w:sz w:val="20"/>
                <w:szCs w:val="20"/>
              </w:rPr>
            </w:pPr>
            <w:r w:rsidRPr="000467F1">
              <w:rPr>
                <w:rFonts w:eastAsia="Calibri"/>
                <w:sz w:val="20"/>
                <w:szCs w:val="20"/>
              </w:rPr>
              <w:t>Drafted 10 new awareness materials covering topics such as Contract Transparency, Beneficial Ownership, Gender, MSG roles, EITI Standards, and EITI Impact.</w:t>
            </w:r>
          </w:p>
          <w:p w14:paraId="7A962CAE" w14:textId="77777777" w:rsidR="000467F1" w:rsidRPr="000467F1" w:rsidRDefault="000467F1" w:rsidP="000467F1">
            <w:pPr>
              <w:numPr>
                <w:ilvl w:val="1"/>
                <w:numId w:val="106"/>
              </w:numPr>
              <w:tabs>
                <w:tab w:val="num" w:pos="1440"/>
              </w:tabs>
              <w:contextualSpacing/>
              <w:jc w:val="both"/>
              <w:rPr>
                <w:rFonts w:eastAsia="Calibri"/>
                <w:sz w:val="20"/>
                <w:szCs w:val="20"/>
              </w:rPr>
            </w:pPr>
            <w:r w:rsidRPr="000467F1">
              <w:rPr>
                <w:rFonts w:eastAsia="Calibri"/>
                <w:sz w:val="20"/>
                <w:szCs w:val="20"/>
              </w:rPr>
              <w:t>Printed 4 brochures: 2 on anti-corruption, 1 on human rights, and 1 on EITI overview.</w:t>
            </w:r>
          </w:p>
          <w:p w14:paraId="6E3D02D3" w14:textId="77777777" w:rsidR="000467F1" w:rsidRPr="000467F1" w:rsidRDefault="000467F1" w:rsidP="000467F1">
            <w:pPr>
              <w:numPr>
                <w:ilvl w:val="1"/>
                <w:numId w:val="106"/>
              </w:numPr>
              <w:tabs>
                <w:tab w:val="num" w:pos="1440"/>
              </w:tabs>
              <w:contextualSpacing/>
              <w:jc w:val="both"/>
              <w:rPr>
                <w:rFonts w:eastAsia="Calibri"/>
                <w:sz w:val="20"/>
                <w:szCs w:val="20"/>
              </w:rPr>
            </w:pPr>
            <w:r w:rsidRPr="000467F1">
              <w:rPr>
                <w:rFonts w:eastAsia="Calibri"/>
                <w:sz w:val="20"/>
                <w:szCs w:val="20"/>
              </w:rPr>
              <w:t>Social media: Launched a Facebook page in January 2025, fostering public dialogue; currently exceeding 200 followers.</w:t>
            </w:r>
          </w:p>
          <w:p w14:paraId="35A23CFB" w14:textId="77777777" w:rsidR="000467F1" w:rsidRPr="000467F1" w:rsidRDefault="000467F1" w:rsidP="000467F1">
            <w:pPr>
              <w:numPr>
                <w:ilvl w:val="1"/>
                <w:numId w:val="106"/>
              </w:numPr>
              <w:tabs>
                <w:tab w:val="num" w:pos="1440"/>
              </w:tabs>
              <w:contextualSpacing/>
              <w:jc w:val="both"/>
              <w:rPr>
                <w:rFonts w:eastAsia="Calibri"/>
                <w:sz w:val="20"/>
                <w:szCs w:val="20"/>
              </w:rPr>
            </w:pPr>
            <w:r w:rsidRPr="000467F1">
              <w:rPr>
                <w:rFonts w:eastAsia="Calibri"/>
                <w:sz w:val="20"/>
                <w:szCs w:val="20"/>
              </w:rPr>
              <w:t>Published 2 newsletters accessible on the GYEITI website.</w:t>
            </w:r>
          </w:p>
          <w:p w14:paraId="2C0A4B6B" w14:textId="77777777" w:rsidR="000467F1" w:rsidRPr="000467F1" w:rsidRDefault="000467F1" w:rsidP="000467F1">
            <w:pPr>
              <w:numPr>
                <w:ilvl w:val="1"/>
                <w:numId w:val="106"/>
              </w:numPr>
              <w:tabs>
                <w:tab w:val="num" w:pos="1440"/>
              </w:tabs>
              <w:contextualSpacing/>
              <w:jc w:val="both"/>
              <w:rPr>
                <w:rFonts w:eastAsia="Calibri"/>
                <w:sz w:val="20"/>
                <w:szCs w:val="20"/>
              </w:rPr>
            </w:pPr>
            <w:r w:rsidRPr="000467F1">
              <w:rPr>
                <w:rFonts w:eastAsia="Calibri"/>
                <w:sz w:val="20"/>
                <w:szCs w:val="20"/>
              </w:rPr>
              <w:t>Developed 3 banners for display at events and consultations.</w:t>
            </w:r>
          </w:p>
          <w:p w14:paraId="21FC005F" w14:textId="77777777" w:rsidR="000467F1" w:rsidRPr="000467F1" w:rsidRDefault="000467F1" w:rsidP="000467F1">
            <w:pPr>
              <w:numPr>
                <w:ilvl w:val="0"/>
                <w:numId w:val="106"/>
              </w:numPr>
              <w:tabs>
                <w:tab w:val="num" w:pos="720"/>
              </w:tabs>
              <w:contextualSpacing/>
              <w:jc w:val="both"/>
              <w:rPr>
                <w:rFonts w:eastAsia="Calibri"/>
                <w:sz w:val="20"/>
                <w:szCs w:val="20"/>
              </w:rPr>
            </w:pPr>
            <w:r w:rsidRPr="000467F1">
              <w:rPr>
                <w:rFonts w:eastAsia="Calibri"/>
                <w:b/>
                <w:bCs/>
                <w:sz w:val="20"/>
                <w:szCs w:val="20"/>
              </w:rPr>
              <w:t>Educational and School-Based Initiatives</w:t>
            </w:r>
          </w:p>
          <w:p w14:paraId="5BA6EE56" w14:textId="77777777" w:rsidR="000467F1" w:rsidRPr="000467F1" w:rsidRDefault="000467F1" w:rsidP="000467F1">
            <w:pPr>
              <w:numPr>
                <w:ilvl w:val="1"/>
                <w:numId w:val="106"/>
              </w:numPr>
              <w:tabs>
                <w:tab w:val="num" w:pos="1440"/>
              </w:tabs>
              <w:contextualSpacing/>
              <w:jc w:val="both"/>
              <w:rPr>
                <w:rFonts w:eastAsia="Calibri"/>
                <w:sz w:val="20"/>
                <w:szCs w:val="20"/>
              </w:rPr>
            </w:pPr>
            <w:r w:rsidRPr="000467F1">
              <w:rPr>
                <w:rFonts w:eastAsia="Calibri"/>
                <w:sz w:val="20"/>
                <w:szCs w:val="20"/>
              </w:rPr>
              <w:t>Engaged 9 schools in Georgetown, reaching approximately 25 students per session, including Christ Church Secondary School, Queen’s College, and New Guyana School.</w:t>
            </w:r>
          </w:p>
          <w:p w14:paraId="2E12516E" w14:textId="288C4837" w:rsidR="000467F1" w:rsidRPr="000467F1" w:rsidRDefault="000467F1" w:rsidP="000467F1">
            <w:pPr>
              <w:numPr>
                <w:ilvl w:val="1"/>
                <w:numId w:val="106"/>
              </w:numPr>
              <w:tabs>
                <w:tab w:val="num" w:pos="1440"/>
              </w:tabs>
              <w:contextualSpacing/>
              <w:jc w:val="both"/>
              <w:rPr>
                <w:rFonts w:eastAsia="Calibri"/>
                <w:sz w:val="20"/>
                <w:szCs w:val="20"/>
              </w:rPr>
            </w:pPr>
            <w:r w:rsidRPr="000467F1">
              <w:rPr>
                <w:rFonts w:eastAsia="Calibri"/>
                <w:sz w:val="20"/>
                <w:szCs w:val="20"/>
              </w:rPr>
              <w:t xml:space="preserve">Cyril Potter College of Education: 25 </w:t>
            </w:r>
            <w:r w:rsidR="0072012D" w:rsidRPr="000467F1">
              <w:rPr>
                <w:rFonts w:eastAsia="Calibri"/>
                <w:sz w:val="20"/>
                <w:szCs w:val="20"/>
              </w:rPr>
              <w:t>trainees</w:t>
            </w:r>
            <w:r w:rsidRPr="000467F1">
              <w:rPr>
                <w:rFonts w:eastAsia="Calibri"/>
                <w:sz w:val="20"/>
                <w:szCs w:val="20"/>
              </w:rPr>
              <w:t xml:space="preserve"> engaged in EITI club initiatives. Three schools established EITI clubs with Secretariat support.</w:t>
            </w:r>
          </w:p>
          <w:p w14:paraId="0FCAA9ED" w14:textId="77777777" w:rsidR="000467F1" w:rsidRPr="000467F1" w:rsidRDefault="000467F1" w:rsidP="000467F1">
            <w:pPr>
              <w:numPr>
                <w:ilvl w:val="1"/>
                <w:numId w:val="106"/>
              </w:numPr>
              <w:tabs>
                <w:tab w:val="num" w:pos="1440"/>
              </w:tabs>
              <w:contextualSpacing/>
              <w:jc w:val="both"/>
              <w:rPr>
                <w:rFonts w:eastAsia="Calibri"/>
                <w:sz w:val="20"/>
                <w:szCs w:val="20"/>
              </w:rPr>
            </w:pPr>
            <w:r w:rsidRPr="000467F1">
              <w:rPr>
                <w:rFonts w:eastAsia="Calibri"/>
                <w:sz w:val="20"/>
                <w:szCs w:val="20"/>
              </w:rPr>
              <w:lastRenderedPageBreak/>
              <w:t>Schools’ debating competition held in March 2025 focused on the extractive sector and value-added industries, with trophies donated by the Secretariat/MNR.</w:t>
            </w:r>
          </w:p>
          <w:p w14:paraId="6CE5AF14" w14:textId="77777777" w:rsidR="000467F1" w:rsidRPr="000467F1" w:rsidRDefault="000467F1" w:rsidP="000467F1">
            <w:pPr>
              <w:numPr>
                <w:ilvl w:val="0"/>
                <w:numId w:val="106"/>
              </w:numPr>
              <w:tabs>
                <w:tab w:val="num" w:pos="720"/>
              </w:tabs>
              <w:contextualSpacing/>
              <w:jc w:val="both"/>
              <w:rPr>
                <w:rFonts w:eastAsia="Calibri"/>
                <w:sz w:val="20"/>
                <w:szCs w:val="20"/>
              </w:rPr>
            </w:pPr>
            <w:r w:rsidRPr="000467F1">
              <w:rPr>
                <w:rFonts w:eastAsia="Calibri"/>
                <w:b/>
                <w:bCs/>
                <w:sz w:val="20"/>
                <w:szCs w:val="20"/>
              </w:rPr>
              <w:t>Broadcast and Media Series</w:t>
            </w:r>
          </w:p>
          <w:p w14:paraId="427A8522" w14:textId="77777777" w:rsidR="000467F1" w:rsidRPr="000467F1" w:rsidRDefault="000467F1" w:rsidP="000467F1">
            <w:pPr>
              <w:numPr>
                <w:ilvl w:val="1"/>
                <w:numId w:val="106"/>
              </w:numPr>
              <w:tabs>
                <w:tab w:val="num" w:pos="1440"/>
              </w:tabs>
              <w:contextualSpacing/>
              <w:jc w:val="both"/>
              <w:rPr>
                <w:rFonts w:eastAsia="Calibri"/>
                <w:sz w:val="20"/>
                <w:szCs w:val="20"/>
              </w:rPr>
            </w:pPr>
            <w:r w:rsidRPr="000467F1">
              <w:rPr>
                <w:rFonts w:eastAsia="Calibri"/>
                <w:sz w:val="20"/>
                <w:szCs w:val="20"/>
              </w:rPr>
              <w:t>MERUNDOI Drama series aired 47 episodes from October 2024 to April 2025, highlighting EITI implementation, sector impacts, and revenue distribution.</w:t>
            </w:r>
          </w:p>
          <w:p w14:paraId="71522E5C" w14:textId="77777777" w:rsidR="000467F1" w:rsidRPr="000467F1" w:rsidRDefault="000467F1" w:rsidP="000467F1">
            <w:pPr>
              <w:numPr>
                <w:ilvl w:val="0"/>
                <w:numId w:val="106"/>
              </w:numPr>
              <w:tabs>
                <w:tab w:val="num" w:pos="720"/>
              </w:tabs>
              <w:contextualSpacing/>
              <w:jc w:val="both"/>
              <w:rPr>
                <w:rFonts w:eastAsia="Calibri"/>
                <w:sz w:val="20"/>
                <w:szCs w:val="20"/>
              </w:rPr>
            </w:pPr>
            <w:r w:rsidRPr="000467F1">
              <w:rPr>
                <w:rFonts w:eastAsia="Calibri"/>
                <w:b/>
                <w:bCs/>
                <w:sz w:val="20"/>
                <w:szCs w:val="20"/>
              </w:rPr>
              <w:t>Ongoing and Rolled-Over Engagements</w:t>
            </w:r>
          </w:p>
          <w:p w14:paraId="78C9646C" w14:textId="77777777" w:rsidR="000467F1" w:rsidRPr="000467F1" w:rsidRDefault="000467F1" w:rsidP="000467F1">
            <w:pPr>
              <w:numPr>
                <w:ilvl w:val="1"/>
                <w:numId w:val="106"/>
              </w:numPr>
              <w:tabs>
                <w:tab w:val="num" w:pos="1440"/>
              </w:tabs>
              <w:contextualSpacing/>
              <w:jc w:val="both"/>
              <w:rPr>
                <w:rFonts w:eastAsia="Calibri"/>
                <w:sz w:val="20"/>
                <w:szCs w:val="20"/>
              </w:rPr>
            </w:pPr>
            <w:r w:rsidRPr="000467F1">
              <w:rPr>
                <w:rFonts w:eastAsia="Calibri"/>
                <w:sz w:val="20"/>
                <w:szCs w:val="20"/>
              </w:rPr>
              <w:t>Some outreach activities, including Lethem engagement with small and women miners, will continue into 2026 to reinforce transparency and stakeholder participation.</w:t>
            </w:r>
          </w:p>
          <w:p w14:paraId="611E7DBE" w14:textId="77777777" w:rsidR="000467F1" w:rsidRPr="000467F1" w:rsidRDefault="000467F1" w:rsidP="000467F1">
            <w:pPr>
              <w:numPr>
                <w:ilvl w:val="0"/>
                <w:numId w:val="106"/>
              </w:numPr>
              <w:tabs>
                <w:tab w:val="num" w:pos="720"/>
              </w:tabs>
              <w:contextualSpacing/>
              <w:jc w:val="both"/>
              <w:rPr>
                <w:rFonts w:eastAsia="Calibri"/>
                <w:sz w:val="20"/>
                <w:szCs w:val="20"/>
              </w:rPr>
            </w:pPr>
            <w:r w:rsidRPr="000467F1">
              <w:rPr>
                <w:rFonts w:eastAsia="Calibri"/>
                <w:b/>
                <w:bCs/>
                <w:sz w:val="20"/>
                <w:szCs w:val="20"/>
              </w:rPr>
              <w:t>Other Public Engagements</w:t>
            </w:r>
          </w:p>
          <w:p w14:paraId="69CABB43" w14:textId="77777777" w:rsidR="000467F1" w:rsidRPr="000467F1" w:rsidRDefault="000467F1" w:rsidP="000467F1">
            <w:pPr>
              <w:numPr>
                <w:ilvl w:val="1"/>
                <w:numId w:val="106"/>
              </w:numPr>
              <w:tabs>
                <w:tab w:val="num" w:pos="1440"/>
              </w:tabs>
              <w:contextualSpacing/>
              <w:jc w:val="both"/>
              <w:rPr>
                <w:rFonts w:eastAsia="Calibri"/>
                <w:sz w:val="20"/>
                <w:szCs w:val="20"/>
              </w:rPr>
            </w:pPr>
            <w:r w:rsidRPr="000467F1">
              <w:rPr>
                <w:rFonts w:eastAsia="Calibri"/>
                <w:sz w:val="20"/>
                <w:szCs w:val="20"/>
              </w:rPr>
              <w:t>Parliamentary engagement with the Committee on Natural Resources, Legal Fraternity roundtable, electronic billboards, infomercials, and GYEITI banners at events.</w:t>
            </w:r>
          </w:p>
          <w:p w14:paraId="0BABC995" w14:textId="77777777" w:rsidR="001B2F93" w:rsidRPr="001B2F93" w:rsidRDefault="001B2F93" w:rsidP="000467F1">
            <w:pPr>
              <w:contextualSpacing/>
              <w:jc w:val="both"/>
              <w:rPr>
                <w:rFonts w:eastAsia="Calibri"/>
                <w:sz w:val="20"/>
                <w:szCs w:val="20"/>
              </w:rPr>
            </w:pPr>
          </w:p>
        </w:tc>
      </w:tr>
      <w:tr w:rsidR="001B2F93" w:rsidRPr="001B2F93" w14:paraId="1EA032C2" w14:textId="77777777" w:rsidTr="00A74514">
        <w:tc>
          <w:tcPr>
            <w:tcW w:w="4495" w:type="dxa"/>
          </w:tcPr>
          <w:p w14:paraId="1F301C58" w14:textId="77777777" w:rsidR="001B2F93" w:rsidRPr="001B2F93" w:rsidRDefault="001B2F93" w:rsidP="001414F5">
            <w:pPr>
              <w:contextualSpacing/>
              <w:jc w:val="both"/>
              <w:rPr>
                <w:rFonts w:eastAsia="Calibri"/>
                <w:sz w:val="20"/>
                <w:szCs w:val="20"/>
              </w:rPr>
            </w:pPr>
          </w:p>
        </w:tc>
        <w:tc>
          <w:tcPr>
            <w:tcW w:w="5400" w:type="dxa"/>
          </w:tcPr>
          <w:p w14:paraId="3B07359A" w14:textId="77777777" w:rsidR="001B2F93" w:rsidRPr="001B2F93" w:rsidRDefault="001B2F93" w:rsidP="001414F5">
            <w:pPr>
              <w:ind w:left="720"/>
              <w:contextualSpacing/>
              <w:jc w:val="both"/>
              <w:rPr>
                <w:rFonts w:eastAsia="Calibri"/>
                <w:sz w:val="20"/>
                <w:szCs w:val="20"/>
              </w:rPr>
            </w:pPr>
          </w:p>
        </w:tc>
      </w:tr>
    </w:tbl>
    <w:p w14:paraId="6528ADF3" w14:textId="77777777" w:rsidR="00582E54" w:rsidRPr="00582E54" w:rsidRDefault="00582E54" w:rsidP="00582E54"/>
    <w:p w14:paraId="5500B2DC" w14:textId="6DF0487E" w:rsidR="00532AB8" w:rsidRPr="00515123" w:rsidRDefault="00532AB8" w:rsidP="00582E54">
      <w:pPr>
        <w:pStyle w:val="Heading1"/>
        <w:shd w:val="clear" w:color="auto" w:fill="45B0E1" w:themeFill="accent1" w:themeFillTint="99"/>
        <w:rPr>
          <w:b/>
          <w:bCs/>
          <w:sz w:val="44"/>
          <w:szCs w:val="44"/>
        </w:rPr>
      </w:pPr>
      <w:bookmarkStart w:id="37" w:name="_Toc164687936"/>
      <w:bookmarkStart w:id="38" w:name="_Toc225776209"/>
      <w:r w:rsidRPr="00515123">
        <w:rPr>
          <w:b/>
          <w:bCs/>
          <w:sz w:val="28"/>
          <w:szCs w:val="28"/>
        </w:rPr>
        <w:t>Strengths and Weaknesses Identified in EITI Process GYEITI</w:t>
      </w:r>
      <w:bookmarkEnd w:id="37"/>
      <w:bookmarkEnd w:id="38"/>
    </w:p>
    <w:p w14:paraId="16DA8653" w14:textId="77777777" w:rsidR="00532AB8" w:rsidRPr="00991CE4" w:rsidRDefault="00532AB8" w:rsidP="00B33093">
      <w:pPr>
        <w:spacing w:line="276" w:lineRule="auto"/>
        <w:rPr>
          <w:rFonts w:eastAsia="Calibri"/>
          <w:b/>
          <w:bCs/>
          <w:sz w:val="22"/>
          <w:szCs w:val="22"/>
        </w:rPr>
      </w:pPr>
      <w:r w:rsidRPr="00991CE4">
        <w:rPr>
          <w:rFonts w:eastAsia="Calibri"/>
          <w:b/>
          <w:bCs/>
          <w:sz w:val="22"/>
          <w:szCs w:val="22"/>
        </w:rPr>
        <w:t>Strengths</w:t>
      </w:r>
    </w:p>
    <w:p w14:paraId="585FCDCE" w14:textId="6F66338C" w:rsidR="00532AB8" w:rsidRPr="00C40E52" w:rsidRDefault="00532AB8" w:rsidP="00B33093">
      <w:pPr>
        <w:spacing w:line="276" w:lineRule="auto"/>
        <w:jc w:val="both"/>
        <w:rPr>
          <w:rFonts w:eastAsia="Calibri"/>
          <w:sz w:val="22"/>
          <w:szCs w:val="22"/>
        </w:rPr>
      </w:pPr>
      <w:r w:rsidRPr="00C40E52">
        <w:rPr>
          <w:rFonts w:eastAsia="Calibri"/>
          <w:sz w:val="22"/>
          <w:szCs w:val="22"/>
        </w:rPr>
        <w:t>The Government of Guyana supports implementation through funding and budget support. Public statements and actions from the Head of State and at Ministerial level demonstrate the political will to implement the EITI. While MSG attendance at meetings could be improved, the MSG is robust and provides full guidance over implementation.</w:t>
      </w:r>
    </w:p>
    <w:p w14:paraId="6E6745C1" w14:textId="77777777" w:rsidR="00532AB8" w:rsidRPr="00C40E52" w:rsidRDefault="00532AB8" w:rsidP="00B33093">
      <w:pPr>
        <w:spacing w:line="276" w:lineRule="auto"/>
        <w:rPr>
          <w:rFonts w:eastAsia="Calibri"/>
          <w:sz w:val="22"/>
          <w:szCs w:val="22"/>
        </w:rPr>
      </w:pPr>
    </w:p>
    <w:p w14:paraId="0AEBE8DD" w14:textId="5B6E0047" w:rsidR="00532AB8" w:rsidRPr="00991CE4" w:rsidRDefault="00B45E1A" w:rsidP="00B33093">
      <w:pPr>
        <w:spacing w:line="276" w:lineRule="auto"/>
        <w:rPr>
          <w:rFonts w:eastAsia="Calibri"/>
          <w:b/>
          <w:bCs/>
          <w:sz w:val="22"/>
          <w:szCs w:val="22"/>
        </w:rPr>
      </w:pPr>
      <w:r w:rsidRPr="00991CE4">
        <w:rPr>
          <w:rFonts w:eastAsia="Calibri"/>
          <w:b/>
          <w:bCs/>
          <w:sz w:val="22"/>
          <w:szCs w:val="22"/>
        </w:rPr>
        <w:t>Weaknesses</w:t>
      </w:r>
    </w:p>
    <w:p w14:paraId="1751218E" w14:textId="77777777" w:rsidR="00532AB8" w:rsidRPr="00C40E52" w:rsidRDefault="00532AB8" w:rsidP="00B33093">
      <w:pPr>
        <w:spacing w:line="276" w:lineRule="auto"/>
        <w:jc w:val="both"/>
        <w:rPr>
          <w:rFonts w:eastAsia="Calibri"/>
          <w:sz w:val="22"/>
          <w:szCs w:val="22"/>
        </w:rPr>
      </w:pPr>
      <w:r w:rsidRPr="00C40E52">
        <w:rPr>
          <w:rFonts w:eastAsia="Calibri"/>
          <w:sz w:val="22"/>
          <w:szCs w:val="22"/>
        </w:rPr>
        <w:t xml:space="preserve">Privacy concerns and regulatory restrictions continue to undermine EITI disclosures. EITI awareness is low nationwide, and public debate using EITI disclosures could be strengthened. Technical training and skills development could strengthen the capacity of the National Secretariat. </w:t>
      </w:r>
    </w:p>
    <w:p w14:paraId="1E811210" w14:textId="77777777" w:rsidR="00532AB8" w:rsidRPr="00991CE4" w:rsidRDefault="00532AB8" w:rsidP="00B33093">
      <w:pPr>
        <w:spacing w:line="276" w:lineRule="auto"/>
        <w:rPr>
          <w:rFonts w:eastAsia="Calibri"/>
          <w:b/>
          <w:bCs/>
          <w:sz w:val="22"/>
          <w:szCs w:val="22"/>
        </w:rPr>
      </w:pPr>
    </w:p>
    <w:p w14:paraId="589EC29B" w14:textId="77777777" w:rsidR="00532AB8" w:rsidRPr="00991CE4" w:rsidRDefault="00532AB8" w:rsidP="00B33093">
      <w:pPr>
        <w:spacing w:line="276" w:lineRule="auto"/>
        <w:rPr>
          <w:rFonts w:eastAsia="Calibri"/>
          <w:b/>
          <w:bCs/>
          <w:sz w:val="22"/>
          <w:szCs w:val="22"/>
        </w:rPr>
      </w:pPr>
      <w:r w:rsidRPr="00991CE4">
        <w:rPr>
          <w:rFonts w:eastAsia="Calibri"/>
          <w:b/>
          <w:bCs/>
          <w:sz w:val="22"/>
          <w:szCs w:val="22"/>
        </w:rPr>
        <w:t xml:space="preserve">Opportunity </w:t>
      </w:r>
    </w:p>
    <w:p w14:paraId="5D9CA97F" w14:textId="35E0BBBA" w:rsidR="00532AB8" w:rsidRPr="00C40E52" w:rsidRDefault="00532AB8" w:rsidP="00B33093">
      <w:pPr>
        <w:spacing w:line="276" w:lineRule="auto"/>
        <w:jc w:val="both"/>
        <w:rPr>
          <w:rFonts w:eastAsia="Calibri"/>
          <w:sz w:val="22"/>
          <w:szCs w:val="22"/>
        </w:rPr>
      </w:pPr>
      <w:r w:rsidRPr="00C40E52">
        <w:rPr>
          <w:rFonts w:eastAsia="Calibri"/>
          <w:sz w:val="22"/>
          <w:szCs w:val="22"/>
        </w:rPr>
        <w:t xml:space="preserve">Embedding EITI disclosure requirements into sector legislation or crafting legislation to ensure reporting entities submit information in keeping with EITI requirements is critical to improving transparency in Guyana. </w:t>
      </w:r>
      <w:r w:rsidR="00FA3375">
        <w:rPr>
          <w:rFonts w:eastAsia="Calibri"/>
          <w:sz w:val="22"/>
          <w:szCs w:val="22"/>
        </w:rPr>
        <w:t>Expanded collaboration with all constituencies provides increased space for heightening awareness on EITI</w:t>
      </w:r>
      <w:r w:rsidR="00DD4A5E">
        <w:rPr>
          <w:rFonts w:eastAsia="Calibri"/>
          <w:sz w:val="22"/>
          <w:szCs w:val="22"/>
        </w:rPr>
        <w:t>.</w:t>
      </w:r>
    </w:p>
    <w:p w14:paraId="5E1F4A45" w14:textId="77777777" w:rsidR="00532AB8" w:rsidRPr="00515123" w:rsidRDefault="00532AB8" w:rsidP="006C2062">
      <w:pPr>
        <w:pStyle w:val="Heading1"/>
        <w:shd w:val="clear" w:color="auto" w:fill="45B0E1" w:themeFill="accent1" w:themeFillTint="99"/>
        <w:rPr>
          <w:b/>
          <w:bCs/>
          <w:sz w:val="28"/>
          <w:szCs w:val="28"/>
        </w:rPr>
      </w:pPr>
      <w:bookmarkStart w:id="39" w:name="_Toc164687937"/>
      <w:bookmarkStart w:id="40" w:name="_Toc225776210"/>
      <w:r w:rsidRPr="00515123">
        <w:rPr>
          <w:b/>
          <w:bCs/>
          <w:sz w:val="28"/>
          <w:szCs w:val="28"/>
        </w:rPr>
        <w:t>Total Implementation Cost</w:t>
      </w:r>
      <w:bookmarkEnd w:id="39"/>
      <w:bookmarkEnd w:id="40"/>
    </w:p>
    <w:p w14:paraId="717130CD" w14:textId="77777777" w:rsidR="00532AB8" w:rsidRDefault="00532AB8" w:rsidP="00B33093">
      <w:pPr>
        <w:spacing w:line="276" w:lineRule="auto"/>
        <w:jc w:val="both"/>
        <w:rPr>
          <w:rFonts w:eastAsia="Calibri"/>
          <w:sz w:val="22"/>
          <w:szCs w:val="22"/>
        </w:rPr>
      </w:pPr>
      <w:r w:rsidRPr="00C40E52">
        <w:rPr>
          <w:rFonts w:eastAsia="Calibri"/>
          <w:sz w:val="22"/>
          <w:szCs w:val="22"/>
        </w:rPr>
        <w:t>EITI implementation is Guyana is underwritten by the Government through budgetary allocation to the Ministry of Natural Resources. The allocation covers staff compensation, office supplies and space, vehicle, MSG operations, outreach and dissemination, and consultancy fees for EITI reports.</w:t>
      </w:r>
    </w:p>
    <w:p w14:paraId="071C89C7" w14:textId="77777777" w:rsidR="0023393F" w:rsidRDefault="0023393F" w:rsidP="00FC1251">
      <w:pPr>
        <w:rPr>
          <w:sz w:val="22"/>
          <w:szCs w:val="22"/>
        </w:rPr>
      </w:pPr>
    </w:p>
    <w:p w14:paraId="7E49E8E2" w14:textId="3DD8F7DD" w:rsidR="00FC1251" w:rsidRPr="0023393F" w:rsidRDefault="00FC1251" w:rsidP="009421D9">
      <w:pPr>
        <w:jc w:val="both"/>
        <w:rPr>
          <w:sz w:val="22"/>
          <w:szCs w:val="22"/>
        </w:rPr>
      </w:pPr>
      <w:r w:rsidRPr="0023393F">
        <w:rPr>
          <w:sz w:val="22"/>
          <w:szCs w:val="22"/>
        </w:rPr>
        <w:t xml:space="preserve">A total of </w:t>
      </w:r>
      <w:r w:rsidRPr="009421D9">
        <w:rPr>
          <w:b/>
          <w:bCs/>
          <w:sz w:val="22"/>
          <w:szCs w:val="22"/>
        </w:rPr>
        <w:t>G$ 96,532,598.00</w:t>
      </w:r>
      <w:r w:rsidRPr="0023393F">
        <w:rPr>
          <w:sz w:val="22"/>
          <w:szCs w:val="22"/>
        </w:rPr>
        <w:t xml:space="preserve"> was expended from the sum of </w:t>
      </w:r>
      <w:r w:rsidRPr="009421D9">
        <w:rPr>
          <w:b/>
          <w:bCs/>
          <w:sz w:val="22"/>
          <w:szCs w:val="22"/>
        </w:rPr>
        <w:t>G$99,165,598.00</w:t>
      </w:r>
      <w:r w:rsidRPr="0023393F">
        <w:rPr>
          <w:sz w:val="22"/>
          <w:szCs w:val="22"/>
        </w:rPr>
        <w:t xml:space="preserve"> allocated to the GYEITI </w:t>
      </w:r>
    </w:p>
    <w:p w14:paraId="74781C56" w14:textId="39BDA65A" w:rsidR="00FC1251" w:rsidRPr="0023393F" w:rsidRDefault="00FC1251" w:rsidP="00FC1251">
      <w:pPr>
        <w:rPr>
          <w:sz w:val="22"/>
          <w:szCs w:val="22"/>
        </w:rPr>
      </w:pPr>
      <w:r w:rsidRPr="0023393F">
        <w:rPr>
          <w:sz w:val="22"/>
          <w:szCs w:val="22"/>
        </w:rPr>
        <w:t xml:space="preserve">This represents expenditure of </w:t>
      </w:r>
      <w:r w:rsidRPr="00CD70E3">
        <w:rPr>
          <w:b/>
          <w:bCs/>
          <w:sz w:val="22"/>
          <w:szCs w:val="22"/>
        </w:rPr>
        <w:t>97%</w:t>
      </w:r>
      <w:r w:rsidRPr="0023393F">
        <w:rPr>
          <w:sz w:val="22"/>
          <w:szCs w:val="22"/>
        </w:rPr>
        <w:t xml:space="preserve"> of allocation and a </w:t>
      </w:r>
      <w:r w:rsidRPr="00CD70E3">
        <w:rPr>
          <w:b/>
          <w:bCs/>
          <w:sz w:val="22"/>
          <w:szCs w:val="22"/>
        </w:rPr>
        <w:t>3%</w:t>
      </w:r>
      <w:r w:rsidRPr="0023393F">
        <w:rPr>
          <w:sz w:val="22"/>
          <w:szCs w:val="22"/>
        </w:rPr>
        <w:t xml:space="preserve"> variance in the sum of </w:t>
      </w:r>
      <w:r w:rsidR="008717A8" w:rsidRPr="008717A8">
        <w:rPr>
          <w:b/>
          <w:bCs/>
          <w:sz w:val="22"/>
          <w:szCs w:val="22"/>
        </w:rPr>
        <w:t>G$</w:t>
      </w:r>
      <w:r w:rsidRPr="008717A8">
        <w:rPr>
          <w:b/>
          <w:bCs/>
          <w:sz w:val="22"/>
          <w:szCs w:val="22"/>
        </w:rPr>
        <w:t>2</w:t>
      </w:r>
      <w:r w:rsidR="009421D9" w:rsidRPr="008717A8">
        <w:rPr>
          <w:b/>
          <w:bCs/>
          <w:sz w:val="22"/>
          <w:szCs w:val="22"/>
        </w:rPr>
        <w:t>,</w:t>
      </w:r>
      <w:r w:rsidRPr="009421D9">
        <w:rPr>
          <w:b/>
          <w:bCs/>
          <w:sz w:val="22"/>
          <w:szCs w:val="22"/>
        </w:rPr>
        <w:t>633,000.00.</w:t>
      </w:r>
    </w:p>
    <w:p w14:paraId="69516294" w14:textId="77777777" w:rsidR="00FC1251" w:rsidRPr="00C40E52" w:rsidRDefault="00FC1251" w:rsidP="00B33093">
      <w:pPr>
        <w:spacing w:line="276" w:lineRule="auto"/>
        <w:jc w:val="both"/>
        <w:rPr>
          <w:rFonts w:eastAsia="Calibri"/>
          <w:sz w:val="22"/>
          <w:szCs w:val="22"/>
        </w:rPr>
      </w:pPr>
    </w:p>
    <w:p w14:paraId="6568B77A" w14:textId="77777777" w:rsidR="00532AB8" w:rsidRPr="00515123" w:rsidRDefault="00532AB8" w:rsidP="006C2062">
      <w:pPr>
        <w:pStyle w:val="Heading1"/>
        <w:shd w:val="clear" w:color="auto" w:fill="45B0E1" w:themeFill="accent1" w:themeFillTint="99"/>
        <w:rPr>
          <w:b/>
          <w:bCs/>
          <w:sz w:val="28"/>
          <w:szCs w:val="28"/>
        </w:rPr>
      </w:pPr>
      <w:bookmarkStart w:id="41" w:name="_Toc164687938"/>
      <w:bookmarkStart w:id="42" w:name="_Toc225776211"/>
      <w:r w:rsidRPr="00515123">
        <w:rPr>
          <w:b/>
          <w:bCs/>
          <w:sz w:val="28"/>
          <w:szCs w:val="28"/>
        </w:rPr>
        <w:t>Details of the MSG during the Period</w:t>
      </w:r>
      <w:bookmarkEnd w:id="41"/>
      <w:bookmarkEnd w:id="42"/>
    </w:p>
    <w:p w14:paraId="7D53BAE7" w14:textId="77777777" w:rsidR="00532AB8" w:rsidRPr="00C40E52" w:rsidRDefault="00532AB8" w:rsidP="00B33093">
      <w:pPr>
        <w:spacing w:line="276" w:lineRule="auto"/>
        <w:jc w:val="both"/>
        <w:rPr>
          <w:rFonts w:eastAsia="Calibri"/>
          <w:color w:val="373A3C"/>
          <w:sz w:val="22"/>
          <w:szCs w:val="22"/>
          <w:shd w:val="clear" w:color="auto" w:fill="FFFFFF"/>
        </w:rPr>
      </w:pPr>
      <w:r w:rsidRPr="00C40E52">
        <w:rPr>
          <w:rFonts w:eastAsia="Calibri"/>
          <w:color w:val="373A3C"/>
          <w:sz w:val="22"/>
          <w:szCs w:val="22"/>
          <w:shd w:val="clear" w:color="auto" w:fill="FFFFFF"/>
        </w:rPr>
        <w:t>GYEITI MSG comprised twelve primary members and twelve alternate members. The MSG is made up of equal representation from the government, industry, and civil society.</w:t>
      </w:r>
    </w:p>
    <w:p w14:paraId="10362C3A" w14:textId="77777777" w:rsidR="00532AB8" w:rsidRPr="00C40E52" w:rsidRDefault="00532AB8" w:rsidP="00B33093">
      <w:pPr>
        <w:spacing w:line="276" w:lineRule="auto"/>
        <w:jc w:val="both"/>
        <w:rPr>
          <w:rFonts w:eastAsia="Calibri"/>
          <w:color w:val="373A3C"/>
          <w:sz w:val="22"/>
          <w:szCs w:val="22"/>
          <w:shd w:val="clear" w:color="auto" w:fill="FFFFFF"/>
        </w:rPr>
      </w:pPr>
      <w:r w:rsidRPr="00C40E52">
        <w:rPr>
          <w:rFonts w:eastAsia="Calibri"/>
          <w:color w:val="373A3C"/>
          <w:sz w:val="22"/>
          <w:szCs w:val="22"/>
          <w:shd w:val="clear" w:color="auto" w:fill="FFFFFF"/>
        </w:rPr>
        <w:t xml:space="preserve">Below is an overview of the attendance of the MSG members to meetings: </w:t>
      </w:r>
    </w:p>
    <w:p w14:paraId="094B6DBD" w14:textId="77777777" w:rsidR="00532AB8" w:rsidRPr="00C40E52" w:rsidRDefault="00532AB8" w:rsidP="00B33093">
      <w:pPr>
        <w:spacing w:line="276" w:lineRule="auto"/>
        <w:rPr>
          <w:rFonts w:eastAsia="Calibri"/>
          <w:sz w:val="22"/>
          <w:szCs w:val="22"/>
        </w:rPr>
      </w:pPr>
    </w:p>
    <w:p w14:paraId="525347AB" w14:textId="6E7001BC" w:rsidR="002F2409" w:rsidRDefault="00277B44" w:rsidP="00B33093">
      <w:pPr>
        <w:pStyle w:val="Body"/>
        <w:tabs>
          <w:tab w:val="left" w:pos="8352"/>
        </w:tabs>
        <w:spacing w:after="0" w:line="276" w:lineRule="auto"/>
        <w:jc w:val="both"/>
        <w:rPr>
          <w:rFonts w:ascii="Times New Roman" w:hAnsi="Times New Roman" w:cs="Times New Roman"/>
          <w:b/>
          <w:bCs/>
        </w:rPr>
      </w:pPr>
      <w:r>
        <w:rPr>
          <w:rFonts w:ascii="Times New Roman" w:hAnsi="Times New Roman" w:cs="Times New Roman"/>
          <w:b/>
          <w:bCs/>
        </w:rPr>
        <w:t xml:space="preserve">Summary of </w:t>
      </w:r>
      <w:r w:rsidRPr="00C40E52">
        <w:rPr>
          <w:rFonts w:ascii="Times New Roman" w:hAnsi="Times New Roman" w:cs="Times New Roman"/>
          <w:b/>
          <w:bCs/>
        </w:rPr>
        <w:t>attendance</w:t>
      </w:r>
      <w:r>
        <w:rPr>
          <w:rFonts w:ascii="Times New Roman" w:hAnsi="Times New Roman" w:cs="Times New Roman"/>
          <w:b/>
          <w:bCs/>
        </w:rPr>
        <w:t xml:space="preserve"> </w:t>
      </w:r>
      <w:r w:rsidR="006E4505">
        <w:rPr>
          <w:rFonts w:ascii="Times New Roman" w:hAnsi="Times New Roman" w:cs="Times New Roman"/>
          <w:b/>
          <w:bCs/>
        </w:rPr>
        <w:t xml:space="preserve">of </w:t>
      </w:r>
      <w:r w:rsidR="006E4505" w:rsidRPr="00C40E52">
        <w:rPr>
          <w:rFonts w:ascii="Times New Roman" w:hAnsi="Times New Roman" w:cs="Times New Roman"/>
          <w:b/>
          <w:bCs/>
        </w:rPr>
        <w:t>MSG</w:t>
      </w:r>
      <w:r w:rsidR="00532AB8" w:rsidRPr="00C40E52">
        <w:rPr>
          <w:rFonts w:ascii="Times New Roman" w:hAnsi="Times New Roman" w:cs="Times New Roman"/>
          <w:b/>
          <w:bCs/>
        </w:rPr>
        <w:t xml:space="preserve"> </w:t>
      </w:r>
      <w:r>
        <w:rPr>
          <w:rFonts w:ascii="Times New Roman" w:hAnsi="Times New Roman" w:cs="Times New Roman"/>
          <w:b/>
          <w:bCs/>
        </w:rPr>
        <w:t xml:space="preserve">Members </w:t>
      </w:r>
      <w:r w:rsidR="00532AB8" w:rsidRPr="00C40E52">
        <w:rPr>
          <w:rFonts w:ascii="Times New Roman" w:hAnsi="Times New Roman" w:cs="Times New Roman"/>
          <w:b/>
          <w:bCs/>
        </w:rPr>
        <w:t>and S</w:t>
      </w:r>
      <w:r>
        <w:rPr>
          <w:rFonts w:ascii="Times New Roman" w:hAnsi="Times New Roman" w:cs="Times New Roman"/>
          <w:b/>
          <w:bCs/>
        </w:rPr>
        <w:t xml:space="preserve">ecretariat </w:t>
      </w:r>
      <w:r w:rsidR="006E4505">
        <w:rPr>
          <w:rFonts w:ascii="Times New Roman" w:hAnsi="Times New Roman" w:cs="Times New Roman"/>
          <w:b/>
          <w:bCs/>
        </w:rPr>
        <w:t>Staff for</w:t>
      </w:r>
      <w:r>
        <w:rPr>
          <w:rFonts w:ascii="Times New Roman" w:hAnsi="Times New Roman" w:cs="Times New Roman"/>
          <w:b/>
          <w:bCs/>
        </w:rPr>
        <w:t xml:space="preserve"> the Statutory Meetings held in 2025.</w:t>
      </w:r>
    </w:p>
    <w:p w14:paraId="4822C9B1" w14:textId="77777777" w:rsidR="002F2409" w:rsidRDefault="002F2409" w:rsidP="00B33093">
      <w:pPr>
        <w:pStyle w:val="Body"/>
        <w:tabs>
          <w:tab w:val="left" w:pos="8352"/>
        </w:tabs>
        <w:spacing w:after="0" w:line="276" w:lineRule="auto"/>
        <w:jc w:val="both"/>
        <w:rPr>
          <w:rFonts w:ascii="Times New Roman" w:hAnsi="Times New Roman" w:cs="Times New Roman"/>
          <w:b/>
          <w:bCs/>
        </w:rPr>
      </w:pPr>
    </w:p>
    <w:tbl>
      <w:tblPr>
        <w:tblW w:w="9918" w:type="dxa"/>
        <w:tblInd w:w="-95"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40"/>
        <w:gridCol w:w="1710"/>
        <w:gridCol w:w="900"/>
        <w:gridCol w:w="990"/>
        <w:gridCol w:w="1260"/>
        <w:gridCol w:w="1530"/>
        <w:gridCol w:w="1008"/>
        <w:gridCol w:w="900"/>
        <w:gridCol w:w="1080"/>
      </w:tblGrid>
      <w:tr w:rsidR="002F2409" w:rsidRPr="009C45F0" w14:paraId="3732FFFD" w14:textId="77777777" w:rsidTr="004F6172">
        <w:trPr>
          <w:trHeight w:val="20"/>
        </w:trPr>
        <w:tc>
          <w:tcPr>
            <w:tcW w:w="5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F68A32" w14:textId="77777777" w:rsidR="002F2409" w:rsidRPr="009C45F0" w:rsidRDefault="002F2409" w:rsidP="00C915AC">
            <w:pPr>
              <w:rPr>
                <w:sz w:val="22"/>
                <w:szCs w:val="22"/>
              </w:rPr>
            </w:pPr>
          </w:p>
        </w:tc>
        <w:tc>
          <w:tcPr>
            <w:tcW w:w="17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2075BD" w14:textId="77777777" w:rsidR="002F2409" w:rsidRPr="004F6172" w:rsidRDefault="002F2409" w:rsidP="00C915AC">
            <w:pPr>
              <w:pStyle w:val="Body"/>
              <w:spacing w:after="0" w:line="276" w:lineRule="auto"/>
              <w:jc w:val="both"/>
              <w:rPr>
                <w:rFonts w:ascii="Times New Roman" w:hAnsi="Times New Roman" w:cs="Times New Roman"/>
              </w:rPr>
            </w:pPr>
            <w:r w:rsidRPr="004F6172">
              <w:rPr>
                <w:rFonts w:ascii="Times New Roman" w:hAnsi="Times New Roman" w:cs="Times New Roman"/>
                <w:b/>
                <w:bCs/>
              </w:rPr>
              <w:t>Name &amp; Sector</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517FCC" w14:textId="77777777" w:rsidR="002F2409" w:rsidRPr="004F6172" w:rsidRDefault="002F2409" w:rsidP="00C915AC">
            <w:pPr>
              <w:pStyle w:val="Body"/>
              <w:spacing w:after="0" w:line="276" w:lineRule="auto"/>
              <w:jc w:val="both"/>
              <w:rPr>
                <w:rFonts w:ascii="Times New Roman" w:hAnsi="Times New Roman" w:cs="Times New Roman"/>
              </w:rPr>
            </w:pPr>
            <w:r w:rsidRPr="004F6172">
              <w:rPr>
                <w:rFonts w:ascii="Times New Roman" w:hAnsi="Times New Roman" w:cs="Times New Roman"/>
                <w:b/>
                <w:bCs/>
              </w:rPr>
              <w:t>Gender</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A06810" w14:textId="77777777" w:rsidR="002F2409" w:rsidRPr="004F6172" w:rsidRDefault="002F2409" w:rsidP="00C915AC">
            <w:pPr>
              <w:pStyle w:val="Body"/>
              <w:spacing w:after="0" w:line="276" w:lineRule="auto"/>
              <w:jc w:val="both"/>
              <w:rPr>
                <w:rFonts w:ascii="Times New Roman" w:eastAsia="Georgia" w:hAnsi="Times New Roman" w:cs="Times New Roman"/>
                <w:b/>
                <w:bCs/>
              </w:rPr>
            </w:pPr>
            <w:r w:rsidRPr="004F6172">
              <w:rPr>
                <w:rFonts w:ascii="Times New Roman" w:hAnsi="Times New Roman" w:cs="Times New Roman"/>
                <w:b/>
                <w:bCs/>
              </w:rPr>
              <w:t xml:space="preserve">Members </w:t>
            </w:r>
          </w:p>
          <w:p w14:paraId="7BC4F511" w14:textId="77777777" w:rsidR="002F2409" w:rsidRPr="004F6172" w:rsidRDefault="002F2409" w:rsidP="00C915AC">
            <w:pPr>
              <w:pStyle w:val="Body"/>
              <w:spacing w:after="0" w:line="276" w:lineRule="auto"/>
              <w:jc w:val="both"/>
              <w:rPr>
                <w:rFonts w:ascii="Times New Roman" w:hAnsi="Times New Roman" w:cs="Times New Roman"/>
              </w:rPr>
            </w:pPr>
            <w:r w:rsidRPr="004F6172">
              <w:rPr>
                <w:rFonts w:ascii="Times New Roman" w:hAnsi="Times New Roman" w:cs="Times New Roman"/>
                <w:b/>
                <w:bCs/>
              </w:rPr>
              <w:t>Present</w:t>
            </w:r>
          </w:p>
        </w:tc>
        <w:tc>
          <w:tcPr>
            <w:tcW w:w="1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FA836A" w14:textId="77777777" w:rsidR="002F2409" w:rsidRPr="004F6172" w:rsidRDefault="002F2409" w:rsidP="00C915AC">
            <w:pPr>
              <w:pStyle w:val="Body"/>
              <w:spacing w:after="0" w:line="276" w:lineRule="auto"/>
              <w:jc w:val="both"/>
              <w:rPr>
                <w:rFonts w:ascii="Times New Roman" w:hAnsi="Times New Roman" w:cs="Times New Roman"/>
              </w:rPr>
            </w:pPr>
            <w:r w:rsidRPr="004F6172">
              <w:rPr>
                <w:rFonts w:ascii="Times New Roman" w:hAnsi="Times New Roman" w:cs="Times New Roman"/>
                <w:b/>
                <w:bCs/>
              </w:rPr>
              <w:t>Members Absent</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904543" w14:textId="77777777" w:rsidR="002F2409" w:rsidRPr="004F6172" w:rsidRDefault="002F2409" w:rsidP="00C915AC">
            <w:pPr>
              <w:pStyle w:val="Body"/>
              <w:spacing w:after="0" w:line="276" w:lineRule="auto"/>
              <w:jc w:val="both"/>
              <w:rPr>
                <w:rFonts w:ascii="Times New Roman" w:hAnsi="Times New Roman" w:cs="Times New Roman"/>
              </w:rPr>
            </w:pPr>
            <w:r w:rsidRPr="004F6172">
              <w:rPr>
                <w:rFonts w:ascii="Times New Roman" w:hAnsi="Times New Roman" w:cs="Times New Roman"/>
                <w:b/>
                <w:bCs/>
              </w:rPr>
              <w:t>Alternate</w:t>
            </w:r>
          </w:p>
        </w:tc>
        <w:tc>
          <w:tcPr>
            <w:tcW w:w="10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FBDE752" w14:textId="77777777" w:rsidR="002F2409" w:rsidRPr="004F6172" w:rsidRDefault="002F2409" w:rsidP="00C915AC">
            <w:pPr>
              <w:pStyle w:val="Body"/>
              <w:spacing w:after="0" w:line="276" w:lineRule="auto"/>
              <w:jc w:val="both"/>
              <w:rPr>
                <w:rFonts w:ascii="Times New Roman" w:hAnsi="Times New Roman" w:cs="Times New Roman"/>
              </w:rPr>
            </w:pPr>
            <w:r w:rsidRPr="004F6172">
              <w:rPr>
                <w:rFonts w:ascii="Times New Roman" w:hAnsi="Times New Roman" w:cs="Times New Roman"/>
                <w:b/>
                <w:bCs/>
              </w:rPr>
              <w:t>Gender</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5FEF4F" w14:textId="77777777" w:rsidR="002F2409" w:rsidRPr="004F6172" w:rsidRDefault="002F2409" w:rsidP="00C915AC">
            <w:pPr>
              <w:pStyle w:val="Body"/>
              <w:spacing w:after="0" w:line="276" w:lineRule="auto"/>
              <w:jc w:val="both"/>
              <w:rPr>
                <w:rFonts w:ascii="Times New Roman" w:hAnsi="Times New Roman" w:cs="Times New Roman"/>
              </w:rPr>
            </w:pPr>
            <w:r w:rsidRPr="004F6172">
              <w:rPr>
                <w:rFonts w:ascii="Times New Roman" w:hAnsi="Times New Roman" w:cs="Times New Roman"/>
                <w:b/>
                <w:bCs/>
              </w:rPr>
              <w:t>Present</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6C7E38" w14:textId="77777777" w:rsidR="002F2409" w:rsidRPr="004F6172" w:rsidRDefault="002F2409" w:rsidP="00C915AC">
            <w:pPr>
              <w:pStyle w:val="Body"/>
              <w:spacing w:after="0" w:line="276" w:lineRule="auto"/>
              <w:jc w:val="both"/>
              <w:rPr>
                <w:rFonts w:ascii="Times New Roman" w:hAnsi="Times New Roman" w:cs="Times New Roman"/>
              </w:rPr>
            </w:pPr>
            <w:r w:rsidRPr="004F6172">
              <w:rPr>
                <w:rFonts w:ascii="Times New Roman" w:hAnsi="Times New Roman" w:cs="Times New Roman"/>
                <w:b/>
                <w:bCs/>
              </w:rPr>
              <w:t>Absent</w:t>
            </w:r>
          </w:p>
        </w:tc>
      </w:tr>
      <w:tr w:rsidR="002F2409" w:rsidRPr="009C45F0" w14:paraId="41A35EE6" w14:textId="77777777" w:rsidTr="004F6172">
        <w:trPr>
          <w:trHeight w:val="20"/>
        </w:trPr>
        <w:tc>
          <w:tcPr>
            <w:tcW w:w="9918"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9357FD" w14:textId="77777777" w:rsidR="002F2409" w:rsidRPr="009C45F0" w:rsidRDefault="002F2409" w:rsidP="00C915AC">
            <w:pPr>
              <w:pStyle w:val="Body"/>
              <w:spacing w:after="0" w:line="276" w:lineRule="auto"/>
              <w:jc w:val="center"/>
              <w:rPr>
                <w:rFonts w:ascii="Times New Roman" w:hAnsi="Times New Roman" w:cs="Times New Roman"/>
              </w:rPr>
            </w:pPr>
            <w:r w:rsidRPr="009C45F0">
              <w:rPr>
                <w:rFonts w:ascii="Times New Roman" w:hAnsi="Times New Roman" w:cs="Times New Roman"/>
                <w:b/>
                <w:bCs/>
              </w:rPr>
              <w:t>INDUSTRY</w:t>
            </w:r>
          </w:p>
        </w:tc>
      </w:tr>
      <w:tr w:rsidR="002F2409" w:rsidRPr="009C45F0" w14:paraId="2F6E91F9" w14:textId="77777777" w:rsidTr="004F6172">
        <w:trPr>
          <w:trHeight w:val="20"/>
        </w:trPr>
        <w:tc>
          <w:tcPr>
            <w:tcW w:w="5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7C7D2A"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1</w:t>
            </w:r>
          </w:p>
        </w:tc>
        <w:tc>
          <w:tcPr>
            <w:tcW w:w="17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9DA8568"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W Thompson</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3CB5C1"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M</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159830" w14:textId="77777777" w:rsidR="002F2409" w:rsidRPr="004F6172" w:rsidRDefault="002F2409" w:rsidP="00C915AC">
            <w:pPr>
              <w:rPr>
                <w:sz w:val="20"/>
                <w:szCs w:val="20"/>
              </w:rPr>
            </w:pPr>
            <w:r w:rsidRPr="004F6172">
              <w:rPr>
                <w:sz w:val="20"/>
                <w:szCs w:val="20"/>
              </w:rPr>
              <w:t>7</w:t>
            </w:r>
          </w:p>
        </w:tc>
        <w:tc>
          <w:tcPr>
            <w:tcW w:w="1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7C3291" w14:textId="77777777" w:rsidR="002F2409" w:rsidRPr="004F6172" w:rsidRDefault="002F2409" w:rsidP="00C915AC">
            <w:pPr>
              <w:pStyle w:val="Body"/>
              <w:spacing w:after="0" w:line="276" w:lineRule="auto"/>
              <w:jc w:val="both"/>
              <w:rPr>
                <w:rFonts w:ascii="Times New Roman" w:hAnsi="Times New Roman" w:cs="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ACC94F"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A Gohil</w:t>
            </w:r>
          </w:p>
        </w:tc>
        <w:tc>
          <w:tcPr>
            <w:tcW w:w="10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B38D00"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M</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3526C5"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4</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1D4861" w14:textId="77777777" w:rsidR="002F2409" w:rsidRPr="004F6172" w:rsidRDefault="002F2409" w:rsidP="00C915AC">
            <w:pPr>
              <w:rPr>
                <w:sz w:val="20"/>
                <w:szCs w:val="20"/>
              </w:rPr>
            </w:pPr>
            <w:r w:rsidRPr="004F6172">
              <w:rPr>
                <w:sz w:val="20"/>
                <w:szCs w:val="20"/>
              </w:rPr>
              <w:t>3</w:t>
            </w:r>
          </w:p>
        </w:tc>
      </w:tr>
      <w:tr w:rsidR="002F2409" w:rsidRPr="009C45F0" w14:paraId="2480A8B7" w14:textId="77777777" w:rsidTr="004F6172">
        <w:trPr>
          <w:trHeight w:val="20"/>
        </w:trPr>
        <w:tc>
          <w:tcPr>
            <w:tcW w:w="5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E2C40A"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2</w:t>
            </w:r>
          </w:p>
        </w:tc>
        <w:tc>
          <w:tcPr>
            <w:tcW w:w="17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879184"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J Vogt</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E665A5"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M</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D64BFA" w14:textId="77777777" w:rsidR="002F2409" w:rsidRPr="004F6172" w:rsidRDefault="002F2409" w:rsidP="00C915AC">
            <w:pPr>
              <w:rPr>
                <w:sz w:val="20"/>
                <w:szCs w:val="20"/>
              </w:rPr>
            </w:pPr>
            <w:r w:rsidRPr="004F6172">
              <w:rPr>
                <w:sz w:val="20"/>
                <w:szCs w:val="20"/>
              </w:rPr>
              <w:t>7</w:t>
            </w:r>
          </w:p>
        </w:tc>
        <w:tc>
          <w:tcPr>
            <w:tcW w:w="1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2D71EA" w14:textId="77777777" w:rsidR="002F2409" w:rsidRPr="004F6172" w:rsidRDefault="002F2409" w:rsidP="00C915AC">
            <w:pPr>
              <w:spacing w:line="276" w:lineRule="auto"/>
              <w:jc w:val="both"/>
              <w:rPr>
                <w:sz w:val="20"/>
                <w:szCs w:val="20"/>
              </w:rPr>
            </w:pP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77EB6A" w14:textId="77777777" w:rsidR="002F2409" w:rsidRPr="004F6172" w:rsidRDefault="002F2409" w:rsidP="00C915AC">
            <w:pPr>
              <w:rPr>
                <w:sz w:val="20"/>
                <w:szCs w:val="20"/>
              </w:rPr>
            </w:pPr>
            <w:r w:rsidRPr="004F6172">
              <w:rPr>
                <w:sz w:val="20"/>
                <w:szCs w:val="20"/>
              </w:rPr>
              <w:t xml:space="preserve"> A Loncke-Watson</w:t>
            </w:r>
          </w:p>
          <w:p w14:paraId="128EFDFA"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 xml:space="preserve">      </w:t>
            </w:r>
          </w:p>
        </w:tc>
        <w:tc>
          <w:tcPr>
            <w:tcW w:w="10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B229B4"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F</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F6959D"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5</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D67CDB" w14:textId="77777777" w:rsidR="002F2409" w:rsidRPr="004F6172" w:rsidRDefault="002F2409" w:rsidP="00C915AC">
            <w:pPr>
              <w:rPr>
                <w:sz w:val="20"/>
                <w:szCs w:val="20"/>
              </w:rPr>
            </w:pPr>
            <w:r w:rsidRPr="004F6172">
              <w:rPr>
                <w:sz w:val="20"/>
                <w:szCs w:val="20"/>
              </w:rPr>
              <w:t>2</w:t>
            </w:r>
          </w:p>
        </w:tc>
      </w:tr>
      <w:tr w:rsidR="002F2409" w:rsidRPr="009C45F0" w14:paraId="14E89D8D" w14:textId="77777777" w:rsidTr="004F6172">
        <w:trPr>
          <w:trHeight w:val="20"/>
        </w:trPr>
        <w:tc>
          <w:tcPr>
            <w:tcW w:w="5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D52F12"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3</w:t>
            </w:r>
          </w:p>
        </w:tc>
        <w:tc>
          <w:tcPr>
            <w:tcW w:w="17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7BC763"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V Balgobin</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9D18EE"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F</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D20E98" w14:textId="77777777" w:rsidR="002F2409" w:rsidRPr="004F6172" w:rsidRDefault="002F2409" w:rsidP="00C915AC">
            <w:pPr>
              <w:rPr>
                <w:sz w:val="20"/>
                <w:szCs w:val="20"/>
              </w:rPr>
            </w:pPr>
            <w:r w:rsidRPr="004F6172">
              <w:rPr>
                <w:sz w:val="20"/>
                <w:szCs w:val="20"/>
              </w:rPr>
              <w:t>1</w:t>
            </w:r>
          </w:p>
        </w:tc>
        <w:tc>
          <w:tcPr>
            <w:tcW w:w="1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86B689"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6</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7156D07"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A Jagnandan</w:t>
            </w:r>
          </w:p>
        </w:tc>
        <w:tc>
          <w:tcPr>
            <w:tcW w:w="10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04756B"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M</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195579"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4</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F0E75C" w14:textId="77777777" w:rsidR="002F2409" w:rsidRPr="004F6172" w:rsidRDefault="002F2409" w:rsidP="00C915AC">
            <w:pPr>
              <w:rPr>
                <w:sz w:val="20"/>
                <w:szCs w:val="20"/>
              </w:rPr>
            </w:pPr>
            <w:r w:rsidRPr="004F6172">
              <w:rPr>
                <w:sz w:val="20"/>
                <w:szCs w:val="20"/>
              </w:rPr>
              <w:t>3</w:t>
            </w:r>
          </w:p>
        </w:tc>
      </w:tr>
      <w:tr w:rsidR="002F2409" w:rsidRPr="009C45F0" w14:paraId="11286D7B" w14:textId="77777777" w:rsidTr="004F6172">
        <w:trPr>
          <w:trHeight w:val="20"/>
        </w:trPr>
        <w:tc>
          <w:tcPr>
            <w:tcW w:w="5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F0D7A1"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4</w:t>
            </w:r>
          </w:p>
        </w:tc>
        <w:tc>
          <w:tcPr>
            <w:tcW w:w="17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8D182D"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R Khan</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E54445"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M</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7907AC"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7</w:t>
            </w:r>
          </w:p>
        </w:tc>
        <w:tc>
          <w:tcPr>
            <w:tcW w:w="1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7282E05" w14:textId="77777777" w:rsidR="002F2409" w:rsidRPr="004F6172" w:rsidRDefault="002F2409" w:rsidP="00C915AC">
            <w:pPr>
              <w:rPr>
                <w:sz w:val="20"/>
                <w:szCs w:val="20"/>
              </w:rPr>
            </w:pP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7A5C2C"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N McLean</w:t>
            </w:r>
          </w:p>
        </w:tc>
        <w:tc>
          <w:tcPr>
            <w:tcW w:w="10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2EBC1A"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M</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F33385" w14:textId="77777777" w:rsidR="002F2409" w:rsidRPr="004F6172" w:rsidRDefault="002F2409" w:rsidP="00C915AC">
            <w:pPr>
              <w:rPr>
                <w:sz w:val="20"/>
                <w:szCs w:val="20"/>
              </w:rPr>
            </w:pPr>
            <w:r w:rsidRPr="004F6172">
              <w:rPr>
                <w:sz w:val="20"/>
                <w:szCs w:val="20"/>
              </w:rPr>
              <w:t>1</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0C5BBE"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6</w:t>
            </w:r>
          </w:p>
        </w:tc>
      </w:tr>
      <w:tr w:rsidR="002F2409" w:rsidRPr="009C45F0" w14:paraId="384EA972" w14:textId="77777777" w:rsidTr="004F6172">
        <w:trPr>
          <w:trHeight w:val="20"/>
        </w:trPr>
        <w:tc>
          <w:tcPr>
            <w:tcW w:w="9918"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FCB8E9" w14:textId="77777777" w:rsidR="002F2409" w:rsidRPr="004F6172" w:rsidRDefault="002F2409" w:rsidP="00C915AC">
            <w:pPr>
              <w:pStyle w:val="Body"/>
              <w:spacing w:after="0" w:line="276" w:lineRule="auto"/>
              <w:jc w:val="center"/>
              <w:rPr>
                <w:rFonts w:ascii="Times New Roman" w:hAnsi="Times New Roman" w:cs="Times New Roman"/>
                <w:b/>
                <w:bCs/>
                <w:sz w:val="20"/>
                <w:szCs w:val="20"/>
              </w:rPr>
            </w:pPr>
            <w:r w:rsidRPr="004F6172">
              <w:rPr>
                <w:rFonts w:ascii="Times New Roman" w:hAnsi="Times New Roman" w:cs="Times New Roman"/>
                <w:b/>
                <w:bCs/>
                <w:sz w:val="20"/>
                <w:szCs w:val="20"/>
              </w:rPr>
              <w:t>CIVIL SOCIETY</w:t>
            </w:r>
          </w:p>
        </w:tc>
      </w:tr>
      <w:tr w:rsidR="002F2409" w:rsidRPr="009C45F0" w14:paraId="2556F42A" w14:textId="77777777" w:rsidTr="004F6172">
        <w:trPr>
          <w:trHeight w:val="20"/>
        </w:trPr>
        <w:tc>
          <w:tcPr>
            <w:tcW w:w="5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C75C59"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5</w:t>
            </w:r>
          </w:p>
        </w:tc>
        <w:tc>
          <w:tcPr>
            <w:tcW w:w="17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2E8551"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lang w:val="fr-FR"/>
              </w:rPr>
              <w:t>R Persaud</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EBD5D19"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M</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A97EC5" w14:textId="77777777" w:rsidR="002F2409" w:rsidRPr="004F6172" w:rsidRDefault="002F2409" w:rsidP="00C915AC">
            <w:pPr>
              <w:rPr>
                <w:sz w:val="20"/>
                <w:szCs w:val="20"/>
              </w:rPr>
            </w:pPr>
            <w:r w:rsidRPr="004F6172">
              <w:rPr>
                <w:sz w:val="20"/>
                <w:szCs w:val="20"/>
              </w:rPr>
              <w:t>4</w:t>
            </w:r>
          </w:p>
        </w:tc>
        <w:tc>
          <w:tcPr>
            <w:tcW w:w="1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E711A9D"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3</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16EB13"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lang w:val="fr-FR"/>
              </w:rPr>
              <w:t>K Smith</w:t>
            </w:r>
          </w:p>
        </w:tc>
        <w:tc>
          <w:tcPr>
            <w:tcW w:w="10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E45236E"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F</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D6CD92E"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1</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3D45F41" w14:textId="77777777" w:rsidR="002F2409" w:rsidRPr="004F6172" w:rsidRDefault="002F2409" w:rsidP="00C915AC">
            <w:pPr>
              <w:rPr>
                <w:sz w:val="20"/>
                <w:szCs w:val="20"/>
              </w:rPr>
            </w:pPr>
            <w:r w:rsidRPr="004F6172">
              <w:rPr>
                <w:sz w:val="20"/>
                <w:szCs w:val="20"/>
              </w:rPr>
              <w:t>6</w:t>
            </w:r>
          </w:p>
        </w:tc>
      </w:tr>
      <w:tr w:rsidR="002F2409" w:rsidRPr="009C45F0" w14:paraId="3CDA9647" w14:textId="77777777" w:rsidTr="004F6172">
        <w:trPr>
          <w:trHeight w:val="20"/>
        </w:trPr>
        <w:tc>
          <w:tcPr>
            <w:tcW w:w="5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E1C7E7"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6</w:t>
            </w:r>
          </w:p>
        </w:tc>
        <w:tc>
          <w:tcPr>
            <w:tcW w:w="17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BE97D2"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lang w:val="fr-FR"/>
              </w:rPr>
              <w:t>D John</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D34841"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M</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87ADD8" w14:textId="77777777" w:rsidR="002F2409" w:rsidRPr="004F6172" w:rsidRDefault="002F2409" w:rsidP="00C915AC">
            <w:pPr>
              <w:rPr>
                <w:sz w:val="20"/>
                <w:szCs w:val="20"/>
              </w:rPr>
            </w:pPr>
            <w:r w:rsidRPr="004F6172">
              <w:rPr>
                <w:sz w:val="20"/>
                <w:szCs w:val="20"/>
              </w:rPr>
              <w:t>5</w:t>
            </w:r>
          </w:p>
        </w:tc>
        <w:tc>
          <w:tcPr>
            <w:tcW w:w="1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1251534"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2</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6AB4EA6"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lang w:val="fr-FR"/>
              </w:rPr>
              <w:t>S Cornelius</w:t>
            </w:r>
          </w:p>
        </w:tc>
        <w:tc>
          <w:tcPr>
            <w:tcW w:w="10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F4F937"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M</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0994B1"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5</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B99F861" w14:textId="77777777" w:rsidR="002F2409" w:rsidRPr="004F6172" w:rsidRDefault="002F2409" w:rsidP="00C915AC">
            <w:pPr>
              <w:rPr>
                <w:sz w:val="20"/>
                <w:szCs w:val="20"/>
              </w:rPr>
            </w:pPr>
            <w:r w:rsidRPr="004F6172">
              <w:rPr>
                <w:sz w:val="20"/>
                <w:szCs w:val="20"/>
              </w:rPr>
              <w:t>2</w:t>
            </w:r>
          </w:p>
        </w:tc>
      </w:tr>
      <w:tr w:rsidR="002F2409" w:rsidRPr="009C45F0" w14:paraId="7CA950F5" w14:textId="77777777" w:rsidTr="004F6172">
        <w:trPr>
          <w:trHeight w:val="20"/>
        </w:trPr>
        <w:tc>
          <w:tcPr>
            <w:tcW w:w="5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C3F0FE"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7</w:t>
            </w:r>
          </w:p>
        </w:tc>
        <w:tc>
          <w:tcPr>
            <w:tcW w:w="17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0119E4"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lang w:val="fr-FR"/>
              </w:rPr>
              <w:t>D Sears</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4AFC98"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M</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C938F8"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4</w:t>
            </w:r>
          </w:p>
        </w:tc>
        <w:tc>
          <w:tcPr>
            <w:tcW w:w="1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9B836C" w14:textId="77777777" w:rsidR="002F2409" w:rsidRPr="004F6172" w:rsidRDefault="002F2409" w:rsidP="00C915AC">
            <w:pPr>
              <w:rPr>
                <w:sz w:val="20"/>
                <w:szCs w:val="20"/>
              </w:rPr>
            </w:pPr>
            <w:r w:rsidRPr="004F6172">
              <w:rPr>
                <w:sz w:val="20"/>
                <w:szCs w:val="20"/>
              </w:rPr>
              <w:t>3</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0D8D58"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S Reid</w:t>
            </w:r>
          </w:p>
        </w:tc>
        <w:tc>
          <w:tcPr>
            <w:tcW w:w="10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F42AE8"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F</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1EDA21"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1</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A2E147" w14:textId="77777777" w:rsidR="002F2409" w:rsidRPr="004F6172" w:rsidRDefault="002F2409" w:rsidP="00C915AC">
            <w:pPr>
              <w:rPr>
                <w:sz w:val="20"/>
                <w:szCs w:val="20"/>
              </w:rPr>
            </w:pPr>
            <w:r w:rsidRPr="004F6172">
              <w:rPr>
                <w:sz w:val="20"/>
                <w:szCs w:val="20"/>
              </w:rPr>
              <w:t>6</w:t>
            </w:r>
          </w:p>
        </w:tc>
      </w:tr>
      <w:tr w:rsidR="002F2409" w:rsidRPr="009C45F0" w14:paraId="56D6194A" w14:textId="77777777" w:rsidTr="004F6172">
        <w:trPr>
          <w:trHeight w:val="20"/>
        </w:trPr>
        <w:tc>
          <w:tcPr>
            <w:tcW w:w="5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693C3FD"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8</w:t>
            </w:r>
          </w:p>
        </w:tc>
        <w:tc>
          <w:tcPr>
            <w:tcW w:w="17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D2737C"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lang w:val="fr-FR"/>
              </w:rPr>
              <w:t>A Singh</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DA54D30"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M</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8F0F12"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6</w:t>
            </w:r>
          </w:p>
        </w:tc>
        <w:tc>
          <w:tcPr>
            <w:tcW w:w="1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41D6D7" w14:textId="77777777" w:rsidR="002F2409" w:rsidRPr="004F6172" w:rsidRDefault="002F2409" w:rsidP="00C915AC">
            <w:pPr>
              <w:rPr>
                <w:sz w:val="20"/>
                <w:szCs w:val="20"/>
              </w:rPr>
            </w:pPr>
            <w:r w:rsidRPr="004F6172">
              <w:rPr>
                <w:sz w:val="20"/>
                <w:szCs w:val="20"/>
              </w:rPr>
              <w:t>1</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DBE3E1"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lang w:val="fr-FR"/>
              </w:rPr>
              <w:t>M Indarjeet</w:t>
            </w:r>
          </w:p>
        </w:tc>
        <w:tc>
          <w:tcPr>
            <w:tcW w:w="10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C1E62F"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F</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A882CD" w14:textId="77777777" w:rsidR="002F2409" w:rsidRPr="004F6172" w:rsidRDefault="002F2409" w:rsidP="00C915AC">
            <w:pPr>
              <w:rPr>
                <w:sz w:val="20"/>
                <w:szCs w:val="20"/>
              </w:rPr>
            </w:pPr>
            <w:r w:rsidRPr="004F6172">
              <w:rPr>
                <w:sz w:val="20"/>
                <w:szCs w:val="20"/>
              </w:rPr>
              <w:t>5</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AEB156"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2</w:t>
            </w:r>
          </w:p>
        </w:tc>
      </w:tr>
      <w:tr w:rsidR="002F2409" w:rsidRPr="009C45F0" w14:paraId="3B34B071" w14:textId="77777777" w:rsidTr="004F6172">
        <w:trPr>
          <w:trHeight w:val="20"/>
        </w:trPr>
        <w:tc>
          <w:tcPr>
            <w:tcW w:w="5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951F0C"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9</w:t>
            </w:r>
          </w:p>
        </w:tc>
        <w:tc>
          <w:tcPr>
            <w:tcW w:w="17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D4F02A" w14:textId="77777777" w:rsidR="002F2409" w:rsidRPr="004F6172" w:rsidRDefault="002F2409" w:rsidP="00C915AC">
            <w:pPr>
              <w:pStyle w:val="Body"/>
              <w:spacing w:after="0" w:line="276" w:lineRule="auto"/>
              <w:jc w:val="both"/>
              <w:rPr>
                <w:rFonts w:ascii="Times New Roman" w:hAnsi="Times New Roman" w:cs="Times New Roman"/>
                <w:sz w:val="20"/>
                <w:szCs w:val="20"/>
              </w:rPr>
            </w:pP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0E6F2C" w14:textId="77777777" w:rsidR="002F2409" w:rsidRPr="004F6172" w:rsidRDefault="002F2409" w:rsidP="00C915AC">
            <w:pPr>
              <w:pStyle w:val="Body"/>
              <w:spacing w:after="0" w:line="276" w:lineRule="auto"/>
              <w:jc w:val="both"/>
              <w:rPr>
                <w:rFonts w:ascii="Times New Roman" w:hAnsi="Times New Roman" w:cs="Times New Roman"/>
                <w:sz w:val="20"/>
                <w:szCs w:val="20"/>
              </w:rPr>
            </w:pP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CBC4C0" w14:textId="77777777" w:rsidR="002F2409" w:rsidRPr="004F6172" w:rsidRDefault="002F2409" w:rsidP="00C915AC">
            <w:pPr>
              <w:pStyle w:val="Body"/>
              <w:spacing w:after="0" w:line="276" w:lineRule="auto"/>
              <w:jc w:val="both"/>
              <w:rPr>
                <w:rFonts w:ascii="Times New Roman" w:hAnsi="Times New Roman" w:cs="Times New Roman"/>
                <w:sz w:val="20"/>
                <w:szCs w:val="20"/>
              </w:rPr>
            </w:pPr>
          </w:p>
        </w:tc>
        <w:tc>
          <w:tcPr>
            <w:tcW w:w="1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47C475" w14:textId="77777777" w:rsidR="002F2409" w:rsidRPr="004F6172" w:rsidRDefault="002F2409" w:rsidP="00C915AC">
            <w:pPr>
              <w:rPr>
                <w:sz w:val="20"/>
                <w:szCs w:val="20"/>
              </w:rPr>
            </w:pP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4873A7"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lang w:val="fr-FR"/>
              </w:rPr>
              <w:t xml:space="preserve">B </w:t>
            </w:r>
            <w:proofErr w:type="spellStart"/>
            <w:r w:rsidRPr="004F6172">
              <w:rPr>
                <w:rFonts w:ascii="Times New Roman" w:hAnsi="Times New Roman" w:cs="Times New Roman"/>
                <w:sz w:val="20"/>
                <w:szCs w:val="20"/>
                <w:lang w:val="fr-FR"/>
              </w:rPr>
              <w:t>Budwah</w:t>
            </w:r>
            <w:proofErr w:type="spellEnd"/>
          </w:p>
        </w:tc>
        <w:tc>
          <w:tcPr>
            <w:tcW w:w="10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899B84"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M</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200C98" w14:textId="77777777" w:rsidR="002F2409" w:rsidRPr="004F6172" w:rsidRDefault="002F2409" w:rsidP="00C915AC">
            <w:pPr>
              <w:rPr>
                <w:sz w:val="20"/>
                <w:szCs w:val="20"/>
              </w:rPr>
            </w:pPr>
            <w:r w:rsidRPr="004F6172">
              <w:rPr>
                <w:sz w:val="20"/>
                <w:szCs w:val="20"/>
              </w:rPr>
              <w:t>3</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8FDD96" w14:textId="77777777" w:rsidR="002F2409" w:rsidRPr="004F6172" w:rsidRDefault="002F2409" w:rsidP="00C915AC">
            <w:pPr>
              <w:pStyle w:val="Body"/>
              <w:spacing w:after="0" w:line="276" w:lineRule="auto"/>
              <w:jc w:val="both"/>
              <w:rPr>
                <w:sz w:val="20"/>
                <w:szCs w:val="20"/>
              </w:rPr>
            </w:pPr>
          </w:p>
        </w:tc>
      </w:tr>
      <w:tr w:rsidR="002F2409" w:rsidRPr="009C45F0" w14:paraId="0F921BF3" w14:textId="77777777" w:rsidTr="004F6172">
        <w:trPr>
          <w:trHeight w:val="20"/>
        </w:trPr>
        <w:tc>
          <w:tcPr>
            <w:tcW w:w="9918"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61A209" w14:textId="77777777" w:rsidR="002F2409" w:rsidRPr="004F6172" w:rsidRDefault="002F2409" w:rsidP="00C915AC">
            <w:pPr>
              <w:pStyle w:val="Body"/>
              <w:spacing w:after="0" w:line="276" w:lineRule="auto"/>
              <w:jc w:val="center"/>
              <w:rPr>
                <w:rFonts w:ascii="Times New Roman" w:hAnsi="Times New Roman" w:cs="Times New Roman"/>
                <w:b/>
                <w:bCs/>
                <w:sz w:val="20"/>
                <w:szCs w:val="20"/>
              </w:rPr>
            </w:pPr>
            <w:r w:rsidRPr="004F6172">
              <w:rPr>
                <w:rFonts w:ascii="Times New Roman" w:hAnsi="Times New Roman" w:cs="Times New Roman"/>
                <w:b/>
                <w:bCs/>
                <w:sz w:val="20"/>
                <w:szCs w:val="20"/>
              </w:rPr>
              <w:t>GOVERNMENT</w:t>
            </w:r>
          </w:p>
        </w:tc>
      </w:tr>
      <w:tr w:rsidR="002F2409" w:rsidRPr="009C45F0" w14:paraId="694CDFB3" w14:textId="77777777" w:rsidTr="004F6172">
        <w:trPr>
          <w:trHeight w:val="20"/>
        </w:trPr>
        <w:tc>
          <w:tcPr>
            <w:tcW w:w="5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46E34F"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10</w:t>
            </w:r>
          </w:p>
        </w:tc>
        <w:tc>
          <w:tcPr>
            <w:tcW w:w="17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8B4A16"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S Roopnauth</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A5CF2F"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F</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0A29D3" w14:textId="77777777" w:rsidR="002F2409" w:rsidRPr="004F6172" w:rsidRDefault="002F2409" w:rsidP="00C915AC">
            <w:pPr>
              <w:rPr>
                <w:sz w:val="20"/>
                <w:szCs w:val="20"/>
              </w:rPr>
            </w:pPr>
            <w:r w:rsidRPr="004F6172">
              <w:rPr>
                <w:sz w:val="20"/>
                <w:szCs w:val="20"/>
              </w:rPr>
              <w:t>7</w:t>
            </w:r>
          </w:p>
        </w:tc>
        <w:tc>
          <w:tcPr>
            <w:tcW w:w="1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F34A3D" w14:textId="77777777" w:rsidR="002F2409" w:rsidRPr="004F6172" w:rsidRDefault="002F2409" w:rsidP="00C915AC">
            <w:pPr>
              <w:pStyle w:val="Body"/>
              <w:spacing w:after="0" w:line="276" w:lineRule="auto"/>
              <w:jc w:val="both"/>
              <w:rPr>
                <w:rFonts w:ascii="Times New Roman" w:hAnsi="Times New Roman" w:cs="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73BDAE"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A Persaud</w:t>
            </w:r>
          </w:p>
        </w:tc>
        <w:tc>
          <w:tcPr>
            <w:tcW w:w="10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40ACE8"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M</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235FAF4" w14:textId="77777777" w:rsidR="002F2409" w:rsidRPr="004F6172" w:rsidRDefault="002F2409" w:rsidP="00C915AC">
            <w:pPr>
              <w:rPr>
                <w:sz w:val="20"/>
                <w:szCs w:val="20"/>
              </w:rPr>
            </w:pPr>
            <w:r w:rsidRPr="004F6172">
              <w:rPr>
                <w:sz w:val="20"/>
                <w:szCs w:val="20"/>
              </w:rPr>
              <w:t>7</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E91EBB" w14:textId="77777777" w:rsidR="002F2409" w:rsidRPr="004F6172" w:rsidRDefault="002F2409" w:rsidP="00C915AC">
            <w:pPr>
              <w:pStyle w:val="Body"/>
              <w:spacing w:after="0" w:line="276" w:lineRule="auto"/>
              <w:jc w:val="both"/>
              <w:rPr>
                <w:rFonts w:ascii="Times New Roman" w:hAnsi="Times New Roman" w:cs="Times New Roman"/>
                <w:sz w:val="20"/>
                <w:szCs w:val="20"/>
              </w:rPr>
            </w:pPr>
          </w:p>
        </w:tc>
      </w:tr>
      <w:tr w:rsidR="002F2409" w:rsidRPr="009C45F0" w14:paraId="6067DD1F" w14:textId="77777777" w:rsidTr="004F6172">
        <w:trPr>
          <w:trHeight w:val="20"/>
        </w:trPr>
        <w:tc>
          <w:tcPr>
            <w:tcW w:w="5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2EB8DC"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11</w:t>
            </w:r>
          </w:p>
        </w:tc>
        <w:tc>
          <w:tcPr>
            <w:tcW w:w="17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C7699CD"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R Singh</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F72B0F"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M</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13BB345"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5</w:t>
            </w:r>
          </w:p>
        </w:tc>
        <w:tc>
          <w:tcPr>
            <w:tcW w:w="1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592938" w14:textId="77777777" w:rsidR="002F2409" w:rsidRPr="004F6172" w:rsidRDefault="002F2409" w:rsidP="00C915AC">
            <w:pPr>
              <w:rPr>
                <w:sz w:val="20"/>
                <w:szCs w:val="20"/>
              </w:rPr>
            </w:pPr>
            <w:r w:rsidRPr="004F6172">
              <w:rPr>
                <w:sz w:val="20"/>
                <w:szCs w:val="20"/>
              </w:rPr>
              <w:t>2</w:t>
            </w: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8F2A4E"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S Richmond</w:t>
            </w:r>
          </w:p>
        </w:tc>
        <w:tc>
          <w:tcPr>
            <w:tcW w:w="10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56A776"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M</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632B64" w14:textId="77777777" w:rsidR="002F2409" w:rsidRPr="004F6172" w:rsidRDefault="002F2409" w:rsidP="00C915AC">
            <w:pPr>
              <w:rPr>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8466C8"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7</w:t>
            </w:r>
          </w:p>
        </w:tc>
      </w:tr>
      <w:tr w:rsidR="002F2409" w:rsidRPr="009C45F0" w14:paraId="70294315" w14:textId="77777777" w:rsidTr="004F6172">
        <w:trPr>
          <w:trHeight w:val="20"/>
        </w:trPr>
        <w:tc>
          <w:tcPr>
            <w:tcW w:w="5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9ADFA2"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12</w:t>
            </w:r>
          </w:p>
        </w:tc>
        <w:tc>
          <w:tcPr>
            <w:tcW w:w="17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81F682" w14:textId="1074A0E5"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 xml:space="preserve"> J</w:t>
            </w:r>
            <w:r w:rsidR="004F6172">
              <w:rPr>
                <w:rFonts w:ascii="Times New Roman" w:hAnsi="Times New Roman" w:cs="Times New Roman"/>
                <w:sz w:val="20"/>
                <w:szCs w:val="20"/>
              </w:rPr>
              <w:t xml:space="preserve"> </w:t>
            </w:r>
            <w:r w:rsidRPr="004F6172">
              <w:rPr>
                <w:rFonts w:ascii="Times New Roman" w:hAnsi="Times New Roman" w:cs="Times New Roman"/>
                <w:sz w:val="20"/>
                <w:szCs w:val="20"/>
              </w:rPr>
              <w:t>Persaud- Boodhoo</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7DABCF5"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F</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8FD3C7"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7</w:t>
            </w:r>
          </w:p>
        </w:tc>
        <w:tc>
          <w:tcPr>
            <w:tcW w:w="1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BC4BCB" w14:textId="77777777" w:rsidR="002F2409" w:rsidRPr="004F6172" w:rsidRDefault="002F2409" w:rsidP="00C915AC">
            <w:pPr>
              <w:rPr>
                <w:sz w:val="20"/>
                <w:szCs w:val="20"/>
              </w:rPr>
            </w:pP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B45DB3"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S Hussain</w:t>
            </w:r>
          </w:p>
        </w:tc>
        <w:tc>
          <w:tcPr>
            <w:tcW w:w="10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7B634A"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M</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9CCE65" w14:textId="77777777" w:rsidR="002F2409" w:rsidRPr="004F6172" w:rsidRDefault="002F2409" w:rsidP="00C915AC">
            <w:pPr>
              <w:rPr>
                <w:sz w:val="20"/>
                <w:szCs w:val="20"/>
              </w:rPr>
            </w:pP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FA6E197" w14:textId="77777777" w:rsidR="002F2409" w:rsidRPr="004F6172" w:rsidRDefault="002F2409" w:rsidP="00C915AC">
            <w:pPr>
              <w:pStyle w:val="Body"/>
              <w:spacing w:after="0" w:line="276" w:lineRule="auto"/>
              <w:jc w:val="both"/>
              <w:rPr>
                <w:rFonts w:ascii="Times New Roman" w:hAnsi="Times New Roman" w:cs="Times New Roman"/>
                <w:sz w:val="20"/>
                <w:szCs w:val="20"/>
              </w:rPr>
            </w:pPr>
            <w:r w:rsidRPr="004F6172">
              <w:rPr>
                <w:rFonts w:ascii="Times New Roman" w:hAnsi="Times New Roman" w:cs="Times New Roman"/>
                <w:sz w:val="20"/>
                <w:szCs w:val="20"/>
              </w:rPr>
              <w:t>7</w:t>
            </w:r>
          </w:p>
        </w:tc>
      </w:tr>
      <w:tr w:rsidR="002F2409" w:rsidRPr="009C45F0" w14:paraId="1AE410B8" w14:textId="77777777" w:rsidTr="004F6172">
        <w:trPr>
          <w:trHeight w:val="20"/>
        </w:trPr>
        <w:tc>
          <w:tcPr>
            <w:tcW w:w="54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FF65C0" w14:textId="77777777" w:rsidR="002F2409" w:rsidRPr="009C45F0" w:rsidRDefault="002F2409" w:rsidP="00C915AC">
            <w:pPr>
              <w:pStyle w:val="Body"/>
              <w:spacing w:after="0" w:line="276" w:lineRule="auto"/>
              <w:jc w:val="both"/>
              <w:rPr>
                <w:rFonts w:ascii="Times New Roman" w:hAnsi="Times New Roman" w:cs="Times New Roman"/>
              </w:rPr>
            </w:pPr>
            <w:r>
              <w:rPr>
                <w:rFonts w:ascii="Times New Roman" w:hAnsi="Times New Roman" w:cs="Times New Roman"/>
              </w:rPr>
              <w:t>13</w:t>
            </w:r>
          </w:p>
        </w:tc>
        <w:tc>
          <w:tcPr>
            <w:tcW w:w="17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EF70F5" w14:textId="77777777" w:rsidR="002F2409" w:rsidRPr="004F6172" w:rsidRDefault="002F2409" w:rsidP="00C915AC">
            <w:pPr>
              <w:pStyle w:val="Body"/>
              <w:spacing w:after="0" w:line="276" w:lineRule="auto"/>
              <w:jc w:val="both"/>
              <w:rPr>
                <w:rFonts w:ascii="Times New Roman" w:hAnsi="Times New Roman" w:cs="Times New Roman"/>
              </w:rPr>
            </w:pPr>
            <w:r w:rsidRPr="004F6172">
              <w:rPr>
                <w:rFonts w:ascii="Times New Roman" w:hAnsi="Times New Roman" w:cs="Times New Roman"/>
              </w:rPr>
              <w:t>M Munroe</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CD4ABB" w14:textId="77777777" w:rsidR="002F2409" w:rsidRPr="004F6172" w:rsidRDefault="002F2409" w:rsidP="00C915AC">
            <w:pPr>
              <w:pStyle w:val="Body"/>
              <w:spacing w:after="0" w:line="276" w:lineRule="auto"/>
              <w:jc w:val="both"/>
              <w:rPr>
                <w:rFonts w:ascii="Times New Roman" w:hAnsi="Times New Roman" w:cs="Times New Roman"/>
              </w:rPr>
            </w:pPr>
            <w:r w:rsidRPr="004F6172">
              <w:rPr>
                <w:rFonts w:ascii="Times New Roman" w:hAnsi="Times New Roman" w:cs="Times New Roman"/>
              </w:rPr>
              <w:t>M</w:t>
            </w:r>
          </w:p>
        </w:tc>
        <w:tc>
          <w:tcPr>
            <w:tcW w:w="99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B8DF12" w14:textId="77777777" w:rsidR="002F2409" w:rsidRPr="004F6172" w:rsidRDefault="002F2409" w:rsidP="00C915AC">
            <w:pPr>
              <w:pStyle w:val="Body"/>
              <w:spacing w:after="0" w:line="276" w:lineRule="auto"/>
              <w:jc w:val="both"/>
              <w:rPr>
                <w:rFonts w:ascii="Times New Roman" w:hAnsi="Times New Roman" w:cs="Times New Roman"/>
              </w:rPr>
            </w:pPr>
            <w:r w:rsidRPr="004F6172">
              <w:rPr>
                <w:rFonts w:ascii="Times New Roman" w:hAnsi="Times New Roman" w:cs="Times New Roman"/>
              </w:rPr>
              <w:t>7</w:t>
            </w:r>
          </w:p>
        </w:tc>
        <w:tc>
          <w:tcPr>
            <w:tcW w:w="126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528808" w14:textId="77777777" w:rsidR="002F2409" w:rsidRPr="004F6172" w:rsidRDefault="002F2409" w:rsidP="00C915AC">
            <w:pPr>
              <w:rPr>
                <w:sz w:val="22"/>
                <w:szCs w:val="22"/>
              </w:rPr>
            </w:pPr>
          </w:p>
        </w:tc>
        <w:tc>
          <w:tcPr>
            <w:tcW w:w="153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399A95" w14:textId="77777777" w:rsidR="002F2409" w:rsidRPr="004F6172" w:rsidRDefault="002F2409" w:rsidP="00C915AC">
            <w:pPr>
              <w:pStyle w:val="Body"/>
              <w:spacing w:after="0" w:line="276" w:lineRule="auto"/>
              <w:jc w:val="both"/>
              <w:rPr>
                <w:rFonts w:ascii="Times New Roman" w:hAnsi="Times New Roman" w:cs="Times New Roman"/>
              </w:rPr>
            </w:pPr>
            <w:r w:rsidRPr="004F6172">
              <w:rPr>
                <w:rFonts w:ascii="Times New Roman" w:hAnsi="Times New Roman" w:cs="Times New Roman"/>
              </w:rPr>
              <w:t>M Pertab</w:t>
            </w:r>
          </w:p>
        </w:tc>
        <w:tc>
          <w:tcPr>
            <w:tcW w:w="100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EC33BF" w14:textId="77777777" w:rsidR="002F2409" w:rsidRPr="004F6172" w:rsidRDefault="002F2409" w:rsidP="00C915AC">
            <w:pPr>
              <w:pStyle w:val="Body"/>
              <w:spacing w:after="0" w:line="276" w:lineRule="auto"/>
              <w:jc w:val="both"/>
              <w:rPr>
                <w:rFonts w:ascii="Times New Roman" w:hAnsi="Times New Roman" w:cs="Times New Roman"/>
              </w:rPr>
            </w:pPr>
            <w:r w:rsidRPr="004F6172">
              <w:rPr>
                <w:rFonts w:ascii="Times New Roman" w:hAnsi="Times New Roman" w:cs="Times New Roman"/>
              </w:rPr>
              <w:t>M</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8A1CA0" w14:textId="77777777" w:rsidR="002F2409" w:rsidRPr="004F6172" w:rsidRDefault="002F2409" w:rsidP="00C915AC">
            <w:pPr>
              <w:rPr>
                <w:sz w:val="22"/>
                <w:szCs w:val="22"/>
              </w:rPr>
            </w:pPr>
            <w:r w:rsidRPr="004F6172">
              <w:rPr>
                <w:sz w:val="22"/>
                <w:szCs w:val="22"/>
              </w:rPr>
              <w:t>1</w:t>
            </w: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78F1E0" w14:textId="77777777" w:rsidR="002F2409" w:rsidRPr="004F6172" w:rsidRDefault="002F2409" w:rsidP="00C915AC">
            <w:pPr>
              <w:pStyle w:val="Body"/>
              <w:spacing w:after="0" w:line="276" w:lineRule="auto"/>
              <w:jc w:val="both"/>
              <w:rPr>
                <w:rFonts w:ascii="Times New Roman" w:hAnsi="Times New Roman" w:cs="Times New Roman"/>
              </w:rPr>
            </w:pPr>
            <w:r w:rsidRPr="004F6172">
              <w:rPr>
                <w:rFonts w:ascii="Times New Roman" w:hAnsi="Times New Roman" w:cs="Times New Roman"/>
              </w:rPr>
              <w:t>6</w:t>
            </w:r>
          </w:p>
        </w:tc>
      </w:tr>
    </w:tbl>
    <w:p w14:paraId="18F32C26" w14:textId="77777777" w:rsidR="002F2409" w:rsidRDefault="002F2409" w:rsidP="00B33093">
      <w:pPr>
        <w:pStyle w:val="Body"/>
        <w:tabs>
          <w:tab w:val="left" w:pos="8352"/>
        </w:tabs>
        <w:spacing w:after="0" w:line="276" w:lineRule="auto"/>
        <w:jc w:val="both"/>
        <w:rPr>
          <w:rFonts w:ascii="Times New Roman" w:hAnsi="Times New Roman" w:cs="Times New Roman"/>
          <w:b/>
          <w:bCs/>
        </w:rPr>
      </w:pPr>
    </w:p>
    <w:p w14:paraId="21DCAE69" w14:textId="77777777" w:rsidR="002F2409" w:rsidRDefault="002F2409" w:rsidP="00B33093">
      <w:pPr>
        <w:pStyle w:val="Body"/>
        <w:tabs>
          <w:tab w:val="left" w:pos="8352"/>
        </w:tabs>
        <w:spacing w:after="0" w:line="276" w:lineRule="auto"/>
        <w:jc w:val="both"/>
        <w:rPr>
          <w:rFonts w:ascii="Times New Roman" w:hAnsi="Times New Roman" w:cs="Times New Roman"/>
          <w:b/>
          <w:bCs/>
        </w:rPr>
      </w:pPr>
    </w:p>
    <w:p w14:paraId="06032485" w14:textId="77777777" w:rsidR="002F2409" w:rsidRDefault="002F2409" w:rsidP="00B33093">
      <w:pPr>
        <w:pStyle w:val="Body"/>
        <w:tabs>
          <w:tab w:val="left" w:pos="8352"/>
        </w:tabs>
        <w:spacing w:after="0" w:line="276" w:lineRule="auto"/>
        <w:jc w:val="both"/>
        <w:rPr>
          <w:rFonts w:ascii="Times New Roman" w:hAnsi="Times New Roman" w:cs="Times New Roman"/>
          <w:b/>
          <w:bCs/>
        </w:rPr>
      </w:pPr>
    </w:p>
    <w:tbl>
      <w:tblPr>
        <w:tblW w:w="971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DD4E9"/>
        <w:tblLayout w:type="fixed"/>
        <w:tblLook w:val="04A0" w:firstRow="1" w:lastRow="0" w:firstColumn="1" w:lastColumn="0" w:noHBand="0" w:noVBand="1"/>
      </w:tblPr>
      <w:tblGrid>
        <w:gridCol w:w="536"/>
        <w:gridCol w:w="1439"/>
        <w:gridCol w:w="900"/>
        <w:gridCol w:w="1177"/>
        <w:gridCol w:w="1055"/>
        <w:gridCol w:w="1350"/>
        <w:gridCol w:w="1278"/>
        <w:gridCol w:w="900"/>
        <w:gridCol w:w="1080"/>
      </w:tblGrid>
      <w:tr w:rsidR="004F6172" w:rsidRPr="009C45F0" w14:paraId="436E8E7D" w14:textId="77777777" w:rsidTr="00C915AC">
        <w:trPr>
          <w:trHeight w:val="20"/>
        </w:trPr>
        <w:tc>
          <w:tcPr>
            <w:tcW w:w="9715" w:type="dxa"/>
            <w:gridSpan w:val="9"/>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F1FD657" w14:textId="77777777" w:rsidR="004F6172" w:rsidRPr="009C45F0" w:rsidRDefault="004F6172" w:rsidP="00C915AC">
            <w:pPr>
              <w:pStyle w:val="Body"/>
              <w:spacing w:after="0" w:line="276" w:lineRule="auto"/>
              <w:jc w:val="both"/>
              <w:rPr>
                <w:rFonts w:ascii="Times New Roman" w:hAnsi="Times New Roman" w:cs="Times New Roman"/>
              </w:rPr>
            </w:pPr>
            <w:r w:rsidRPr="009C45F0">
              <w:rPr>
                <w:rFonts w:ascii="Times New Roman" w:hAnsi="Times New Roman" w:cs="Times New Roman"/>
                <w:b/>
                <w:bCs/>
              </w:rPr>
              <w:t>Secretariat Staff</w:t>
            </w:r>
          </w:p>
        </w:tc>
      </w:tr>
      <w:tr w:rsidR="004F6172" w:rsidRPr="009C45F0" w14:paraId="2433C20B" w14:textId="77777777" w:rsidTr="00C915AC">
        <w:trPr>
          <w:trHeight w:val="20"/>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5D24CF" w14:textId="77777777" w:rsidR="004F6172" w:rsidRPr="009C45F0" w:rsidRDefault="004F6172" w:rsidP="00C915AC">
            <w:pPr>
              <w:pStyle w:val="Body"/>
              <w:spacing w:after="0" w:line="276" w:lineRule="auto"/>
              <w:jc w:val="both"/>
              <w:rPr>
                <w:rFonts w:ascii="Times New Roman" w:hAnsi="Times New Roman" w:cs="Times New Roman"/>
              </w:rPr>
            </w:pPr>
            <w:r w:rsidRPr="009C45F0">
              <w:rPr>
                <w:rFonts w:ascii="Times New Roman" w:hAnsi="Times New Roman" w:cs="Times New Roman"/>
                <w:b/>
                <w:bCs/>
              </w:rPr>
              <w:t>1</w:t>
            </w:r>
          </w:p>
        </w:tc>
        <w:tc>
          <w:tcPr>
            <w:tcW w:w="14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759D30C" w14:textId="77777777" w:rsidR="004F6172" w:rsidRPr="009C45F0" w:rsidRDefault="004F6172" w:rsidP="00C915AC">
            <w:pPr>
              <w:pStyle w:val="Body"/>
              <w:spacing w:after="0" w:line="276" w:lineRule="auto"/>
              <w:jc w:val="both"/>
              <w:rPr>
                <w:rFonts w:ascii="Times New Roman" w:hAnsi="Times New Roman" w:cs="Times New Roman"/>
              </w:rPr>
            </w:pPr>
            <w:r w:rsidRPr="009C45F0">
              <w:rPr>
                <w:rFonts w:ascii="Times New Roman" w:hAnsi="Times New Roman" w:cs="Times New Roman"/>
                <w:b/>
                <w:bCs/>
              </w:rPr>
              <w:t>P Misir</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022F87" w14:textId="77777777" w:rsidR="004F6172" w:rsidRPr="009C45F0" w:rsidRDefault="004F6172" w:rsidP="00C915AC">
            <w:pPr>
              <w:pStyle w:val="Body"/>
              <w:spacing w:after="0" w:line="276" w:lineRule="auto"/>
              <w:jc w:val="both"/>
              <w:rPr>
                <w:rFonts w:ascii="Times New Roman" w:hAnsi="Times New Roman" w:cs="Times New Roman"/>
              </w:rPr>
            </w:pPr>
            <w:r w:rsidRPr="009C45F0">
              <w:rPr>
                <w:rFonts w:ascii="Times New Roman" w:hAnsi="Times New Roman" w:cs="Times New Roman"/>
                <w:b/>
                <w:bCs/>
              </w:rPr>
              <w:t>M</w:t>
            </w:r>
          </w:p>
        </w:tc>
        <w:tc>
          <w:tcPr>
            <w:tcW w:w="11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E6226A" w14:textId="77777777" w:rsidR="004F6172" w:rsidRPr="009C45F0" w:rsidRDefault="004F6172" w:rsidP="00C915AC">
            <w:pPr>
              <w:pStyle w:val="Body"/>
              <w:spacing w:after="0" w:line="276" w:lineRule="auto"/>
              <w:jc w:val="both"/>
              <w:rPr>
                <w:rFonts w:ascii="Times New Roman" w:hAnsi="Times New Roman" w:cs="Times New Roman"/>
              </w:rPr>
            </w:pPr>
            <w:r>
              <w:rPr>
                <w:rFonts w:ascii="Times New Roman" w:hAnsi="Times New Roman" w:cs="Times New Roman"/>
              </w:rPr>
              <w:t>7</w:t>
            </w:r>
          </w:p>
        </w:tc>
        <w:tc>
          <w:tcPr>
            <w:tcW w:w="1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C30437" w14:textId="77777777" w:rsidR="004F6172" w:rsidRPr="009C45F0" w:rsidRDefault="004F6172" w:rsidP="00C915AC">
            <w:pPr>
              <w:rPr>
                <w:sz w:val="22"/>
                <w:szCs w:val="22"/>
              </w:rPr>
            </w:pP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85854D" w14:textId="77777777" w:rsidR="004F6172" w:rsidRPr="009C45F0" w:rsidRDefault="004F6172" w:rsidP="00C915AC">
            <w:pPr>
              <w:rPr>
                <w:sz w:val="22"/>
                <w:szCs w:val="22"/>
              </w:rPr>
            </w:pPr>
          </w:p>
        </w:tc>
        <w:tc>
          <w:tcPr>
            <w:tcW w:w="12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257B436" w14:textId="77777777" w:rsidR="004F6172" w:rsidRPr="009C45F0" w:rsidRDefault="004F6172" w:rsidP="00C915AC">
            <w:pPr>
              <w:rPr>
                <w:sz w:val="22"/>
                <w:szCs w:val="22"/>
              </w:rPr>
            </w:pP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A96246" w14:textId="77777777" w:rsidR="004F6172" w:rsidRPr="009C45F0" w:rsidRDefault="004F6172" w:rsidP="00C915AC">
            <w:pPr>
              <w:rPr>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2BC510" w14:textId="77777777" w:rsidR="004F6172" w:rsidRPr="009C45F0" w:rsidRDefault="004F6172" w:rsidP="00C915AC">
            <w:pPr>
              <w:rPr>
                <w:sz w:val="22"/>
                <w:szCs w:val="22"/>
              </w:rPr>
            </w:pPr>
          </w:p>
        </w:tc>
      </w:tr>
      <w:tr w:rsidR="004F6172" w:rsidRPr="009C45F0" w14:paraId="5E31B222" w14:textId="77777777" w:rsidTr="00C915AC">
        <w:trPr>
          <w:trHeight w:val="20"/>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0A7E18E" w14:textId="77777777" w:rsidR="004F6172" w:rsidRPr="009C45F0" w:rsidRDefault="004F6172" w:rsidP="00C915AC">
            <w:pPr>
              <w:pStyle w:val="Body"/>
              <w:spacing w:after="0" w:line="276" w:lineRule="auto"/>
              <w:jc w:val="both"/>
              <w:rPr>
                <w:rFonts w:ascii="Times New Roman" w:hAnsi="Times New Roman" w:cs="Times New Roman"/>
              </w:rPr>
            </w:pPr>
            <w:r w:rsidRPr="009C45F0">
              <w:rPr>
                <w:rFonts w:ascii="Times New Roman" w:hAnsi="Times New Roman" w:cs="Times New Roman"/>
                <w:b/>
                <w:bCs/>
              </w:rPr>
              <w:t>2</w:t>
            </w:r>
          </w:p>
        </w:tc>
        <w:tc>
          <w:tcPr>
            <w:tcW w:w="14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850250" w14:textId="77777777" w:rsidR="004F6172" w:rsidRPr="009C45F0" w:rsidRDefault="004F6172" w:rsidP="00C915AC">
            <w:pPr>
              <w:pStyle w:val="Body"/>
              <w:spacing w:after="0" w:line="276" w:lineRule="auto"/>
              <w:jc w:val="both"/>
              <w:rPr>
                <w:rFonts w:ascii="Times New Roman" w:hAnsi="Times New Roman" w:cs="Times New Roman"/>
              </w:rPr>
            </w:pPr>
            <w:r w:rsidRPr="009C45F0">
              <w:rPr>
                <w:rFonts w:ascii="Times New Roman" w:hAnsi="Times New Roman" w:cs="Times New Roman"/>
                <w:b/>
                <w:bCs/>
              </w:rPr>
              <w:t>J Earle</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B6AF79" w14:textId="77777777" w:rsidR="004F6172" w:rsidRPr="009C45F0" w:rsidRDefault="004F6172" w:rsidP="00C915AC">
            <w:pPr>
              <w:pStyle w:val="Body"/>
              <w:spacing w:after="0" w:line="276" w:lineRule="auto"/>
              <w:jc w:val="both"/>
              <w:rPr>
                <w:rFonts w:ascii="Times New Roman" w:hAnsi="Times New Roman" w:cs="Times New Roman"/>
              </w:rPr>
            </w:pPr>
            <w:r w:rsidRPr="009C45F0">
              <w:rPr>
                <w:rFonts w:ascii="Times New Roman" w:hAnsi="Times New Roman" w:cs="Times New Roman"/>
                <w:b/>
                <w:bCs/>
              </w:rPr>
              <w:t>M</w:t>
            </w:r>
          </w:p>
        </w:tc>
        <w:tc>
          <w:tcPr>
            <w:tcW w:w="11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B768AE7" w14:textId="77777777" w:rsidR="004F6172" w:rsidRPr="009C45F0" w:rsidRDefault="004F6172" w:rsidP="00C915AC">
            <w:pPr>
              <w:pStyle w:val="Body"/>
              <w:spacing w:after="0" w:line="276" w:lineRule="auto"/>
              <w:jc w:val="both"/>
              <w:rPr>
                <w:rFonts w:ascii="Times New Roman" w:hAnsi="Times New Roman" w:cs="Times New Roman"/>
              </w:rPr>
            </w:pPr>
            <w:r>
              <w:rPr>
                <w:rFonts w:ascii="Times New Roman" w:hAnsi="Times New Roman" w:cs="Times New Roman"/>
              </w:rPr>
              <w:t>7</w:t>
            </w:r>
          </w:p>
        </w:tc>
        <w:tc>
          <w:tcPr>
            <w:tcW w:w="1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BB8081" w14:textId="77777777" w:rsidR="004F6172" w:rsidRPr="009C45F0" w:rsidRDefault="004F6172" w:rsidP="00C915AC">
            <w:pPr>
              <w:rPr>
                <w:sz w:val="22"/>
                <w:szCs w:val="22"/>
              </w:rPr>
            </w:pP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D3DC4BA" w14:textId="77777777" w:rsidR="004F6172" w:rsidRPr="009C45F0" w:rsidRDefault="004F6172" w:rsidP="00C915AC">
            <w:pPr>
              <w:rPr>
                <w:sz w:val="22"/>
                <w:szCs w:val="22"/>
              </w:rPr>
            </w:pPr>
          </w:p>
        </w:tc>
        <w:tc>
          <w:tcPr>
            <w:tcW w:w="12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5B11B0A" w14:textId="77777777" w:rsidR="004F6172" w:rsidRPr="009C45F0" w:rsidRDefault="004F6172" w:rsidP="00C915AC">
            <w:pPr>
              <w:rPr>
                <w:sz w:val="22"/>
                <w:szCs w:val="22"/>
              </w:rPr>
            </w:pP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667380F" w14:textId="77777777" w:rsidR="004F6172" w:rsidRPr="009C45F0" w:rsidRDefault="004F6172" w:rsidP="00C915AC">
            <w:pPr>
              <w:rPr>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0DE60BB" w14:textId="77777777" w:rsidR="004F6172" w:rsidRPr="009C45F0" w:rsidRDefault="004F6172" w:rsidP="00C915AC">
            <w:pPr>
              <w:rPr>
                <w:sz w:val="22"/>
                <w:szCs w:val="22"/>
              </w:rPr>
            </w:pPr>
          </w:p>
        </w:tc>
      </w:tr>
      <w:tr w:rsidR="004F6172" w:rsidRPr="009C45F0" w14:paraId="41229DEE" w14:textId="77777777" w:rsidTr="00C915AC">
        <w:trPr>
          <w:trHeight w:val="20"/>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8BB824" w14:textId="77777777" w:rsidR="004F6172" w:rsidRPr="009C45F0" w:rsidRDefault="004F6172" w:rsidP="00C915AC">
            <w:pPr>
              <w:pStyle w:val="Body"/>
              <w:spacing w:after="0" w:line="276" w:lineRule="auto"/>
              <w:jc w:val="both"/>
              <w:rPr>
                <w:rFonts w:ascii="Times New Roman" w:hAnsi="Times New Roman" w:cs="Times New Roman"/>
              </w:rPr>
            </w:pPr>
            <w:r w:rsidRPr="009C45F0">
              <w:rPr>
                <w:rFonts w:ascii="Times New Roman" w:hAnsi="Times New Roman" w:cs="Times New Roman"/>
                <w:b/>
                <w:bCs/>
              </w:rPr>
              <w:t>3</w:t>
            </w:r>
          </w:p>
        </w:tc>
        <w:tc>
          <w:tcPr>
            <w:tcW w:w="14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224053D" w14:textId="77777777" w:rsidR="004F6172" w:rsidRPr="009C45F0" w:rsidRDefault="004F6172" w:rsidP="00C915AC">
            <w:pPr>
              <w:pStyle w:val="Body"/>
              <w:spacing w:after="0" w:line="276" w:lineRule="auto"/>
              <w:jc w:val="both"/>
              <w:rPr>
                <w:rFonts w:ascii="Times New Roman" w:hAnsi="Times New Roman" w:cs="Times New Roman"/>
              </w:rPr>
            </w:pPr>
            <w:r>
              <w:rPr>
                <w:rFonts w:ascii="Times New Roman" w:hAnsi="Times New Roman" w:cs="Times New Roman"/>
                <w:b/>
                <w:bCs/>
              </w:rPr>
              <w:t>R Jagarnauth</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AE9A591" w14:textId="77777777" w:rsidR="004F6172" w:rsidRPr="009C45F0" w:rsidRDefault="004F6172" w:rsidP="00C915AC">
            <w:pPr>
              <w:pStyle w:val="Body"/>
              <w:spacing w:after="0" w:line="276" w:lineRule="auto"/>
              <w:jc w:val="both"/>
              <w:rPr>
                <w:rFonts w:ascii="Times New Roman" w:hAnsi="Times New Roman" w:cs="Times New Roman"/>
              </w:rPr>
            </w:pPr>
            <w:r w:rsidRPr="009C45F0">
              <w:rPr>
                <w:rFonts w:ascii="Times New Roman" w:hAnsi="Times New Roman" w:cs="Times New Roman"/>
                <w:b/>
                <w:bCs/>
              </w:rPr>
              <w:t>F</w:t>
            </w:r>
          </w:p>
        </w:tc>
        <w:tc>
          <w:tcPr>
            <w:tcW w:w="11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816C30" w14:textId="77777777" w:rsidR="004F6172" w:rsidRPr="009C45F0" w:rsidRDefault="004F6172" w:rsidP="00C915AC">
            <w:pPr>
              <w:pStyle w:val="Body"/>
              <w:spacing w:after="0" w:line="276" w:lineRule="auto"/>
              <w:jc w:val="both"/>
              <w:rPr>
                <w:rFonts w:ascii="Times New Roman" w:hAnsi="Times New Roman" w:cs="Times New Roman"/>
              </w:rPr>
            </w:pPr>
            <w:r>
              <w:rPr>
                <w:rFonts w:ascii="Times New Roman" w:hAnsi="Times New Roman" w:cs="Times New Roman"/>
              </w:rPr>
              <w:t>7</w:t>
            </w:r>
          </w:p>
        </w:tc>
        <w:tc>
          <w:tcPr>
            <w:tcW w:w="1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205656" w14:textId="77777777" w:rsidR="004F6172" w:rsidRPr="009C45F0" w:rsidRDefault="004F6172" w:rsidP="00C915AC">
            <w:pPr>
              <w:rPr>
                <w:b/>
                <w:bCs/>
                <w:sz w:val="22"/>
                <w:szCs w:val="22"/>
              </w:rPr>
            </w:pP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9D0679" w14:textId="77777777" w:rsidR="004F6172" w:rsidRPr="009C45F0" w:rsidRDefault="004F6172" w:rsidP="00C915AC">
            <w:pPr>
              <w:rPr>
                <w:sz w:val="22"/>
                <w:szCs w:val="22"/>
              </w:rPr>
            </w:pPr>
          </w:p>
        </w:tc>
        <w:tc>
          <w:tcPr>
            <w:tcW w:w="12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0E12A5" w14:textId="77777777" w:rsidR="004F6172" w:rsidRPr="009C45F0" w:rsidRDefault="004F6172" w:rsidP="00C915AC">
            <w:pPr>
              <w:rPr>
                <w:sz w:val="22"/>
                <w:szCs w:val="22"/>
              </w:rPr>
            </w:pP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EE10BD" w14:textId="77777777" w:rsidR="004F6172" w:rsidRPr="009C45F0" w:rsidRDefault="004F6172" w:rsidP="00C915AC">
            <w:pPr>
              <w:rPr>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0529D4" w14:textId="77777777" w:rsidR="004F6172" w:rsidRPr="009C45F0" w:rsidRDefault="004F6172" w:rsidP="00C915AC">
            <w:pPr>
              <w:rPr>
                <w:sz w:val="22"/>
                <w:szCs w:val="22"/>
              </w:rPr>
            </w:pPr>
          </w:p>
        </w:tc>
      </w:tr>
      <w:tr w:rsidR="004F6172" w:rsidRPr="009C45F0" w14:paraId="706AC5A5" w14:textId="77777777" w:rsidTr="00C915AC">
        <w:trPr>
          <w:trHeight w:val="20"/>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118D39" w14:textId="77777777" w:rsidR="004F6172" w:rsidRPr="009C45F0" w:rsidRDefault="004F6172" w:rsidP="00C915AC">
            <w:pPr>
              <w:pStyle w:val="Body"/>
              <w:spacing w:after="0" w:line="276" w:lineRule="auto"/>
              <w:jc w:val="both"/>
              <w:rPr>
                <w:rFonts w:ascii="Times New Roman" w:hAnsi="Times New Roman" w:cs="Times New Roman"/>
                <w:b/>
                <w:bCs/>
              </w:rPr>
            </w:pPr>
            <w:r>
              <w:rPr>
                <w:rFonts w:ascii="Times New Roman" w:hAnsi="Times New Roman" w:cs="Times New Roman"/>
                <w:b/>
                <w:bCs/>
              </w:rPr>
              <w:t>4</w:t>
            </w:r>
          </w:p>
        </w:tc>
        <w:tc>
          <w:tcPr>
            <w:tcW w:w="14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463B4C7" w14:textId="77777777" w:rsidR="004F6172" w:rsidRPr="009C45F0" w:rsidRDefault="004F6172" w:rsidP="00C915AC">
            <w:pPr>
              <w:pStyle w:val="Body"/>
              <w:spacing w:after="0" w:line="276" w:lineRule="auto"/>
              <w:jc w:val="both"/>
              <w:rPr>
                <w:rFonts w:ascii="Times New Roman" w:hAnsi="Times New Roman" w:cs="Times New Roman"/>
                <w:b/>
                <w:bCs/>
              </w:rPr>
            </w:pPr>
            <w:r>
              <w:rPr>
                <w:rFonts w:ascii="Times New Roman" w:hAnsi="Times New Roman" w:cs="Times New Roman"/>
                <w:b/>
                <w:bCs/>
              </w:rPr>
              <w:t>R Ramgobin</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01AED72" w14:textId="77777777" w:rsidR="004F6172" w:rsidRPr="009C45F0" w:rsidRDefault="004F6172" w:rsidP="00C915AC">
            <w:pPr>
              <w:pStyle w:val="Body"/>
              <w:spacing w:after="0" w:line="276" w:lineRule="auto"/>
              <w:jc w:val="both"/>
              <w:rPr>
                <w:rFonts w:ascii="Times New Roman" w:hAnsi="Times New Roman" w:cs="Times New Roman"/>
                <w:b/>
                <w:bCs/>
              </w:rPr>
            </w:pPr>
            <w:r>
              <w:rPr>
                <w:rFonts w:ascii="Times New Roman" w:hAnsi="Times New Roman" w:cs="Times New Roman"/>
                <w:b/>
                <w:bCs/>
              </w:rPr>
              <w:t>M</w:t>
            </w:r>
          </w:p>
        </w:tc>
        <w:tc>
          <w:tcPr>
            <w:tcW w:w="11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13D5E7" w14:textId="77777777" w:rsidR="004F6172" w:rsidRDefault="004F6172" w:rsidP="00C915AC">
            <w:pPr>
              <w:pStyle w:val="Body"/>
              <w:spacing w:after="0" w:line="276" w:lineRule="auto"/>
              <w:jc w:val="both"/>
              <w:rPr>
                <w:rFonts w:ascii="Times New Roman" w:hAnsi="Times New Roman" w:cs="Times New Roman"/>
              </w:rPr>
            </w:pPr>
            <w:r>
              <w:rPr>
                <w:rFonts w:ascii="Times New Roman" w:hAnsi="Times New Roman" w:cs="Times New Roman"/>
              </w:rPr>
              <w:t>7</w:t>
            </w:r>
          </w:p>
        </w:tc>
        <w:tc>
          <w:tcPr>
            <w:tcW w:w="1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01CE32" w14:textId="77777777" w:rsidR="004F6172" w:rsidRPr="009C45F0" w:rsidRDefault="004F6172" w:rsidP="00C915AC">
            <w:pPr>
              <w:pStyle w:val="Body"/>
              <w:spacing w:after="0" w:line="276" w:lineRule="auto"/>
              <w:jc w:val="both"/>
              <w:rPr>
                <w:rFonts w:ascii="Times New Roman" w:hAnsi="Times New Roman" w:cs="Times New Roman"/>
                <w:b/>
                <w:bCs/>
              </w:rPr>
            </w:pP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501CC4" w14:textId="77777777" w:rsidR="004F6172" w:rsidRPr="009C45F0" w:rsidRDefault="004F6172" w:rsidP="00C915AC">
            <w:pPr>
              <w:rPr>
                <w:sz w:val="22"/>
                <w:szCs w:val="22"/>
              </w:rPr>
            </w:pPr>
          </w:p>
        </w:tc>
        <w:tc>
          <w:tcPr>
            <w:tcW w:w="12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6C8BC7" w14:textId="77777777" w:rsidR="004F6172" w:rsidRPr="009C45F0" w:rsidRDefault="004F6172" w:rsidP="00C915AC">
            <w:pPr>
              <w:rPr>
                <w:sz w:val="22"/>
                <w:szCs w:val="22"/>
              </w:rPr>
            </w:pP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3B45CF" w14:textId="77777777" w:rsidR="004F6172" w:rsidRPr="009C45F0" w:rsidRDefault="004F6172" w:rsidP="00C915AC">
            <w:pPr>
              <w:rPr>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3F1DAFD" w14:textId="77777777" w:rsidR="004F6172" w:rsidRPr="009C45F0" w:rsidRDefault="004F6172" w:rsidP="00C915AC">
            <w:pPr>
              <w:rPr>
                <w:sz w:val="22"/>
                <w:szCs w:val="22"/>
              </w:rPr>
            </w:pPr>
          </w:p>
        </w:tc>
      </w:tr>
      <w:tr w:rsidR="004F6172" w:rsidRPr="009C45F0" w14:paraId="5B050096" w14:textId="77777777" w:rsidTr="00C915AC">
        <w:trPr>
          <w:trHeight w:val="20"/>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2D2B73" w14:textId="77777777" w:rsidR="004F6172" w:rsidRPr="009C45F0" w:rsidRDefault="004F6172" w:rsidP="00C915AC">
            <w:pPr>
              <w:pStyle w:val="Body"/>
              <w:spacing w:after="0" w:line="276" w:lineRule="auto"/>
              <w:jc w:val="both"/>
              <w:rPr>
                <w:rFonts w:ascii="Times New Roman" w:hAnsi="Times New Roman" w:cs="Times New Roman"/>
              </w:rPr>
            </w:pPr>
            <w:r>
              <w:rPr>
                <w:rFonts w:ascii="Times New Roman" w:hAnsi="Times New Roman" w:cs="Times New Roman"/>
                <w:b/>
                <w:bCs/>
              </w:rPr>
              <w:t>5</w:t>
            </w:r>
          </w:p>
        </w:tc>
        <w:tc>
          <w:tcPr>
            <w:tcW w:w="14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E8B2D2" w14:textId="77777777" w:rsidR="004F6172" w:rsidRPr="009C45F0" w:rsidRDefault="004F6172" w:rsidP="00C915AC">
            <w:pPr>
              <w:pStyle w:val="Body"/>
              <w:spacing w:after="0" w:line="276" w:lineRule="auto"/>
              <w:jc w:val="both"/>
              <w:rPr>
                <w:rFonts w:ascii="Times New Roman" w:hAnsi="Times New Roman" w:cs="Times New Roman"/>
              </w:rPr>
            </w:pPr>
            <w:r w:rsidRPr="009C45F0">
              <w:rPr>
                <w:rFonts w:ascii="Times New Roman" w:hAnsi="Times New Roman" w:cs="Times New Roman"/>
                <w:b/>
                <w:bCs/>
              </w:rPr>
              <w:t>R. Budhu</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20E62C" w14:textId="77777777" w:rsidR="004F6172" w:rsidRPr="009C45F0" w:rsidRDefault="004F6172" w:rsidP="00C915AC">
            <w:pPr>
              <w:pStyle w:val="Body"/>
              <w:spacing w:after="0" w:line="276" w:lineRule="auto"/>
              <w:jc w:val="both"/>
              <w:rPr>
                <w:rFonts w:ascii="Times New Roman" w:hAnsi="Times New Roman" w:cs="Times New Roman"/>
              </w:rPr>
            </w:pPr>
            <w:r w:rsidRPr="009C45F0">
              <w:rPr>
                <w:rFonts w:ascii="Times New Roman" w:hAnsi="Times New Roman" w:cs="Times New Roman"/>
                <w:b/>
                <w:bCs/>
              </w:rPr>
              <w:t>M</w:t>
            </w:r>
          </w:p>
        </w:tc>
        <w:tc>
          <w:tcPr>
            <w:tcW w:w="11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2B158D" w14:textId="77777777" w:rsidR="004F6172" w:rsidRPr="009C45F0" w:rsidRDefault="004F6172" w:rsidP="00C915AC">
            <w:pPr>
              <w:rPr>
                <w:sz w:val="22"/>
                <w:szCs w:val="22"/>
              </w:rPr>
            </w:pPr>
            <w:r>
              <w:rPr>
                <w:sz w:val="22"/>
                <w:szCs w:val="22"/>
              </w:rPr>
              <w:t>4</w:t>
            </w:r>
          </w:p>
        </w:tc>
        <w:tc>
          <w:tcPr>
            <w:tcW w:w="1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E6ADD2" w14:textId="77777777" w:rsidR="004F6172" w:rsidRPr="009C45F0" w:rsidRDefault="004F6172" w:rsidP="00C915AC">
            <w:pPr>
              <w:pStyle w:val="Body"/>
              <w:spacing w:after="0" w:line="276" w:lineRule="auto"/>
              <w:jc w:val="both"/>
              <w:rPr>
                <w:rFonts w:ascii="Times New Roman" w:hAnsi="Times New Roman" w:cs="Times New Roman"/>
                <w:b/>
                <w:bCs/>
              </w:rPr>
            </w:pPr>
            <w:r>
              <w:rPr>
                <w:rFonts w:ascii="Times New Roman" w:hAnsi="Times New Roman" w:cs="Times New Roman"/>
                <w:b/>
                <w:bCs/>
              </w:rPr>
              <w:t>3</w:t>
            </w: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A724D6" w14:textId="77777777" w:rsidR="004F6172" w:rsidRPr="009C45F0" w:rsidRDefault="004F6172" w:rsidP="00C915AC">
            <w:pPr>
              <w:rPr>
                <w:sz w:val="22"/>
                <w:szCs w:val="22"/>
              </w:rPr>
            </w:pPr>
          </w:p>
        </w:tc>
        <w:tc>
          <w:tcPr>
            <w:tcW w:w="12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3CED85" w14:textId="77777777" w:rsidR="004F6172" w:rsidRPr="009C45F0" w:rsidRDefault="004F6172" w:rsidP="00C915AC">
            <w:pPr>
              <w:rPr>
                <w:sz w:val="22"/>
                <w:szCs w:val="22"/>
              </w:rPr>
            </w:pP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7107F7" w14:textId="77777777" w:rsidR="004F6172" w:rsidRPr="009C45F0" w:rsidRDefault="004F6172" w:rsidP="00C915AC">
            <w:pPr>
              <w:rPr>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4B8A4A" w14:textId="77777777" w:rsidR="004F6172" w:rsidRPr="009C45F0" w:rsidRDefault="004F6172" w:rsidP="00C915AC">
            <w:pPr>
              <w:rPr>
                <w:sz w:val="22"/>
                <w:szCs w:val="22"/>
              </w:rPr>
            </w:pPr>
          </w:p>
        </w:tc>
      </w:tr>
      <w:tr w:rsidR="004F6172" w:rsidRPr="009C45F0" w14:paraId="2D5B23E2" w14:textId="77777777" w:rsidTr="00C915AC">
        <w:trPr>
          <w:trHeight w:val="20"/>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9F4742C" w14:textId="77777777" w:rsidR="004F6172" w:rsidRDefault="004F6172" w:rsidP="00C915AC">
            <w:pPr>
              <w:pStyle w:val="Body"/>
              <w:spacing w:after="0" w:line="276" w:lineRule="auto"/>
              <w:jc w:val="both"/>
              <w:rPr>
                <w:rFonts w:ascii="Times New Roman" w:hAnsi="Times New Roman" w:cs="Times New Roman"/>
                <w:b/>
                <w:bCs/>
              </w:rPr>
            </w:pPr>
            <w:r>
              <w:rPr>
                <w:rFonts w:ascii="Times New Roman" w:hAnsi="Times New Roman" w:cs="Times New Roman"/>
                <w:b/>
                <w:bCs/>
              </w:rPr>
              <w:t>6</w:t>
            </w:r>
          </w:p>
        </w:tc>
        <w:tc>
          <w:tcPr>
            <w:tcW w:w="14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19BB96" w14:textId="77777777" w:rsidR="004F6172" w:rsidRPr="009C45F0" w:rsidRDefault="004F6172" w:rsidP="00C915AC">
            <w:pPr>
              <w:pStyle w:val="Body"/>
              <w:spacing w:after="0" w:line="276" w:lineRule="auto"/>
              <w:jc w:val="both"/>
              <w:rPr>
                <w:rFonts w:ascii="Times New Roman" w:hAnsi="Times New Roman" w:cs="Times New Roman"/>
                <w:b/>
                <w:bCs/>
              </w:rPr>
            </w:pPr>
            <w:r>
              <w:rPr>
                <w:rFonts w:ascii="Times New Roman" w:hAnsi="Times New Roman" w:cs="Times New Roman"/>
                <w:b/>
                <w:bCs/>
              </w:rPr>
              <w:t>A Barton</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3E5026" w14:textId="77777777" w:rsidR="004F6172" w:rsidRPr="009C45F0" w:rsidRDefault="004F6172" w:rsidP="00C915AC">
            <w:pPr>
              <w:pStyle w:val="Body"/>
              <w:spacing w:after="0" w:line="276" w:lineRule="auto"/>
              <w:jc w:val="both"/>
              <w:rPr>
                <w:rFonts w:ascii="Times New Roman" w:hAnsi="Times New Roman" w:cs="Times New Roman"/>
                <w:b/>
                <w:bCs/>
              </w:rPr>
            </w:pPr>
            <w:r>
              <w:rPr>
                <w:rFonts w:ascii="Times New Roman" w:hAnsi="Times New Roman" w:cs="Times New Roman"/>
                <w:b/>
                <w:bCs/>
              </w:rPr>
              <w:t>F</w:t>
            </w:r>
          </w:p>
        </w:tc>
        <w:tc>
          <w:tcPr>
            <w:tcW w:w="11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956F70" w14:textId="77777777" w:rsidR="004F6172" w:rsidRPr="009C45F0" w:rsidRDefault="004F6172" w:rsidP="00C915AC">
            <w:pPr>
              <w:rPr>
                <w:b/>
                <w:bCs/>
              </w:rPr>
            </w:pPr>
            <w:r>
              <w:rPr>
                <w:b/>
                <w:bCs/>
              </w:rPr>
              <w:t>7</w:t>
            </w:r>
          </w:p>
        </w:tc>
        <w:tc>
          <w:tcPr>
            <w:tcW w:w="1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E0E6EB" w14:textId="77777777" w:rsidR="004F6172" w:rsidRPr="00EC14C2" w:rsidRDefault="004F6172" w:rsidP="00C915AC">
            <w:pPr>
              <w:pStyle w:val="Body"/>
              <w:spacing w:after="0" w:line="276" w:lineRule="auto"/>
              <w:jc w:val="both"/>
              <w:rPr>
                <w:b/>
                <w:bCs/>
              </w:rPr>
            </w:pP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0786EE" w14:textId="77777777" w:rsidR="004F6172" w:rsidRPr="009C45F0" w:rsidRDefault="004F6172" w:rsidP="00C915AC">
            <w:pPr>
              <w:rPr>
                <w:sz w:val="22"/>
                <w:szCs w:val="22"/>
              </w:rPr>
            </w:pPr>
          </w:p>
        </w:tc>
        <w:tc>
          <w:tcPr>
            <w:tcW w:w="12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D05630" w14:textId="77777777" w:rsidR="004F6172" w:rsidRPr="009C45F0" w:rsidRDefault="004F6172" w:rsidP="00C915AC">
            <w:pPr>
              <w:rPr>
                <w:sz w:val="22"/>
                <w:szCs w:val="22"/>
              </w:rPr>
            </w:pP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58767D9" w14:textId="77777777" w:rsidR="004F6172" w:rsidRPr="009C45F0" w:rsidRDefault="004F6172" w:rsidP="00C915AC">
            <w:pPr>
              <w:rPr>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A7C5C6" w14:textId="77777777" w:rsidR="004F6172" w:rsidRPr="009C45F0" w:rsidRDefault="004F6172" w:rsidP="00C915AC">
            <w:pPr>
              <w:rPr>
                <w:sz w:val="22"/>
                <w:szCs w:val="22"/>
              </w:rPr>
            </w:pPr>
          </w:p>
        </w:tc>
      </w:tr>
      <w:tr w:rsidR="004F6172" w:rsidRPr="009C45F0" w14:paraId="11B43875" w14:textId="77777777" w:rsidTr="00C915AC">
        <w:trPr>
          <w:trHeight w:val="20"/>
        </w:trPr>
        <w:tc>
          <w:tcPr>
            <w:tcW w:w="536"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7C5E9C" w14:textId="77777777" w:rsidR="004F6172" w:rsidRDefault="004F6172" w:rsidP="00C915AC">
            <w:pPr>
              <w:pStyle w:val="Body"/>
              <w:spacing w:after="0" w:line="276" w:lineRule="auto"/>
              <w:jc w:val="both"/>
              <w:rPr>
                <w:rFonts w:ascii="Times New Roman" w:hAnsi="Times New Roman" w:cs="Times New Roman"/>
                <w:b/>
                <w:bCs/>
              </w:rPr>
            </w:pPr>
            <w:r>
              <w:rPr>
                <w:rFonts w:ascii="Times New Roman" w:hAnsi="Times New Roman" w:cs="Times New Roman"/>
                <w:b/>
                <w:bCs/>
              </w:rPr>
              <w:t>7</w:t>
            </w:r>
          </w:p>
        </w:tc>
        <w:tc>
          <w:tcPr>
            <w:tcW w:w="143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A46416A" w14:textId="77777777" w:rsidR="004F6172" w:rsidRPr="009C45F0" w:rsidRDefault="004F6172" w:rsidP="00C915AC">
            <w:pPr>
              <w:pStyle w:val="Body"/>
              <w:spacing w:after="0" w:line="276" w:lineRule="auto"/>
              <w:jc w:val="both"/>
              <w:rPr>
                <w:rFonts w:ascii="Times New Roman" w:hAnsi="Times New Roman" w:cs="Times New Roman"/>
                <w:b/>
                <w:bCs/>
              </w:rPr>
            </w:pPr>
            <w:r>
              <w:rPr>
                <w:rFonts w:ascii="Times New Roman" w:hAnsi="Times New Roman" w:cs="Times New Roman"/>
                <w:b/>
                <w:bCs/>
              </w:rPr>
              <w:t>O Dowridge</w:t>
            </w: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44868EF" w14:textId="77777777" w:rsidR="004F6172" w:rsidRPr="009C45F0" w:rsidRDefault="004F6172" w:rsidP="00C915AC">
            <w:pPr>
              <w:pStyle w:val="Body"/>
              <w:spacing w:after="0" w:line="276" w:lineRule="auto"/>
              <w:jc w:val="both"/>
              <w:rPr>
                <w:rFonts w:ascii="Times New Roman" w:hAnsi="Times New Roman" w:cs="Times New Roman"/>
                <w:b/>
                <w:bCs/>
              </w:rPr>
            </w:pPr>
            <w:r>
              <w:rPr>
                <w:rFonts w:ascii="Times New Roman" w:hAnsi="Times New Roman" w:cs="Times New Roman"/>
                <w:b/>
                <w:bCs/>
              </w:rPr>
              <w:t>F</w:t>
            </w:r>
          </w:p>
        </w:tc>
        <w:tc>
          <w:tcPr>
            <w:tcW w:w="117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EE621C" w14:textId="77777777" w:rsidR="004F6172" w:rsidRPr="009C45F0" w:rsidRDefault="004F6172" w:rsidP="00C915AC">
            <w:pPr>
              <w:rPr>
                <w:b/>
                <w:bCs/>
              </w:rPr>
            </w:pPr>
            <w:r>
              <w:rPr>
                <w:b/>
                <w:bCs/>
              </w:rPr>
              <w:t>7</w:t>
            </w:r>
          </w:p>
        </w:tc>
        <w:tc>
          <w:tcPr>
            <w:tcW w:w="1055"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367203" w14:textId="77777777" w:rsidR="004F6172" w:rsidRPr="00EC14C2" w:rsidRDefault="004F6172" w:rsidP="00C915AC">
            <w:pPr>
              <w:pStyle w:val="Body"/>
              <w:spacing w:after="0" w:line="276" w:lineRule="auto"/>
              <w:jc w:val="both"/>
              <w:rPr>
                <w:b/>
                <w:bCs/>
              </w:rPr>
            </w:pPr>
          </w:p>
        </w:tc>
        <w:tc>
          <w:tcPr>
            <w:tcW w:w="135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FC0AC84" w14:textId="77777777" w:rsidR="004F6172" w:rsidRPr="009C45F0" w:rsidRDefault="004F6172" w:rsidP="00C915AC">
            <w:pPr>
              <w:rPr>
                <w:sz w:val="22"/>
                <w:szCs w:val="22"/>
              </w:rPr>
            </w:pPr>
          </w:p>
        </w:tc>
        <w:tc>
          <w:tcPr>
            <w:tcW w:w="127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DA70C1B" w14:textId="77777777" w:rsidR="004F6172" w:rsidRPr="009C45F0" w:rsidRDefault="004F6172" w:rsidP="00C915AC">
            <w:pPr>
              <w:rPr>
                <w:sz w:val="22"/>
                <w:szCs w:val="22"/>
              </w:rPr>
            </w:pPr>
          </w:p>
        </w:tc>
        <w:tc>
          <w:tcPr>
            <w:tcW w:w="90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C8864F0" w14:textId="77777777" w:rsidR="004F6172" w:rsidRPr="009C45F0" w:rsidRDefault="004F6172" w:rsidP="00C915AC">
            <w:pPr>
              <w:rPr>
                <w:sz w:val="22"/>
                <w:szCs w:val="22"/>
              </w:rPr>
            </w:pPr>
          </w:p>
        </w:tc>
        <w:tc>
          <w:tcPr>
            <w:tcW w:w="108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7953236" w14:textId="77777777" w:rsidR="004F6172" w:rsidRPr="009C45F0" w:rsidRDefault="004F6172" w:rsidP="00C915AC">
            <w:pPr>
              <w:rPr>
                <w:sz w:val="22"/>
                <w:szCs w:val="22"/>
              </w:rPr>
            </w:pPr>
          </w:p>
        </w:tc>
      </w:tr>
    </w:tbl>
    <w:p w14:paraId="2C914284" w14:textId="515924AC" w:rsidR="00532AB8" w:rsidRPr="006E4505" w:rsidRDefault="00FC1251" w:rsidP="00B33093">
      <w:pPr>
        <w:spacing w:line="276" w:lineRule="auto"/>
        <w:rPr>
          <w:b/>
          <w:bCs/>
          <w:sz w:val="22"/>
          <w:szCs w:val="22"/>
        </w:rPr>
      </w:pPr>
      <w:r w:rsidRPr="006E4505">
        <w:rPr>
          <w:b/>
          <w:bCs/>
          <w:sz w:val="22"/>
          <w:szCs w:val="22"/>
        </w:rPr>
        <w:t xml:space="preserve">GYEITI Secretariat </w:t>
      </w:r>
    </w:p>
    <w:p w14:paraId="5BB183BD" w14:textId="77777777" w:rsidR="00532AB8" w:rsidRPr="006E4505" w:rsidRDefault="00532AB8" w:rsidP="00B33093">
      <w:pPr>
        <w:spacing w:line="276" w:lineRule="auto"/>
        <w:rPr>
          <w:b/>
          <w:bCs/>
          <w:sz w:val="22"/>
          <w:szCs w:val="22"/>
        </w:rPr>
      </w:pPr>
    </w:p>
    <w:p w14:paraId="2172C490" w14:textId="77777777" w:rsidR="00532AB8" w:rsidRPr="00C40E52" w:rsidRDefault="00532AB8" w:rsidP="00B33093">
      <w:pPr>
        <w:spacing w:line="276" w:lineRule="auto"/>
        <w:rPr>
          <w:sz w:val="22"/>
          <w:szCs w:val="22"/>
        </w:rPr>
      </w:pPr>
    </w:p>
    <w:sectPr w:rsidR="00532AB8" w:rsidRPr="00C40E52" w:rsidSect="001D210A">
      <w:footerReference w:type="first" r:id="rId41"/>
      <w:pgSz w:w="12240" w:h="15840" w:code="1"/>
      <w:pgMar w:top="1440" w:right="1440" w:bottom="1440" w:left="1440" w:header="72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BFD02" w14:textId="77777777" w:rsidR="00375BB0" w:rsidRDefault="00375BB0">
      <w:r>
        <w:separator/>
      </w:r>
    </w:p>
  </w:endnote>
  <w:endnote w:type="continuationSeparator" w:id="0">
    <w:p w14:paraId="6BA60BB4" w14:textId="77777777" w:rsidR="00375BB0" w:rsidRDefault="00375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Gothic">
    <w:altName w:val="游ゴシック"/>
    <w:panose1 w:val="020B0400000000000000"/>
    <w:charset w:val="80"/>
    <w:family w:val="swiss"/>
    <w:pitch w:val="variable"/>
    <w:sig w:usb0="E00002FF" w:usb1="2AC7FDFF" w:usb2="00000016" w:usb3="00000000" w:csb0="0002009F" w:csb1="00000000"/>
  </w:font>
  <w:font w:name="Georgia">
    <w:panose1 w:val="02040502050405020303"/>
    <w:charset w:val="00"/>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DengXian Light">
    <w:charset w:val="86"/>
    <w:family w:val="auto"/>
    <w:pitch w:val="variable"/>
    <w:sig w:usb0="A00002BF" w:usb1="38CF7CFA" w:usb2="00000016" w:usb3="00000000" w:csb0="0004000F" w:csb1="00000000"/>
  </w:font>
  <w:font w:name="Arial Unicode MS">
    <w:panose1 w:val="020B0604020202020204"/>
    <w:charset w:val="00"/>
    <w:family w:val="roman"/>
    <w:pitch w:val="variable"/>
    <w:sig w:usb0="00000003" w:usb1="00000000" w:usb2="00000000" w:usb3="00000000" w:csb0="00000001" w:csb1="00000000"/>
  </w:font>
  <w:font w:name="Helvetica Neue">
    <w:altName w:val="Arial"/>
    <w:charset w:val="00"/>
    <w:family w:val="swiss"/>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DengXian">
    <w:panose1 w:val="02010600030101010101"/>
    <w:charset w:val="86"/>
    <w:family w:val="auto"/>
    <w:pitch w:val="variable"/>
    <w:sig w:usb0="A00002BF" w:usb1="38CF7CFA" w:usb2="00000016" w:usb3="00000000" w:csb0="0004000F" w:csb1="00000000"/>
  </w:font>
  <w:font w:name="Yu Gothic UI">
    <w:panose1 w:val="020B05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1030898"/>
      <w:docPartObj>
        <w:docPartGallery w:val="Page Numbers (Bottom of Page)"/>
        <w:docPartUnique/>
      </w:docPartObj>
    </w:sdtPr>
    <w:sdtEndPr>
      <w:rPr>
        <w:noProof/>
      </w:rPr>
    </w:sdtEndPr>
    <w:sdtContent>
      <w:p w14:paraId="786E3062" w14:textId="77777777" w:rsidR="001D210A" w:rsidRPr="001D210A" w:rsidRDefault="001D210A" w:rsidP="001D210A">
        <w:pPr>
          <w:pBdr>
            <w:top w:val="single" w:sz="6" w:space="10" w:color="5B9BD5"/>
          </w:pBdr>
          <w:jc w:val="center"/>
          <w:rPr>
            <w:rFonts w:ascii="Georgia" w:hAnsi="Georgia"/>
            <w:sz w:val="18"/>
            <w:szCs w:val="18"/>
            <w:lang w:val="en-GB" w:eastAsia="en-GB"/>
          </w:rPr>
        </w:pPr>
        <w:r w:rsidRPr="001D210A">
          <w:rPr>
            <w:rFonts w:ascii="Georgia" w:hAnsi="Georgia"/>
            <w:sz w:val="18"/>
            <w:szCs w:val="18"/>
            <w:lang w:val="en-GB" w:eastAsia="en-GB"/>
          </w:rPr>
          <w:t xml:space="preserve">National Secretariat, Guyana Extractive Industries Transparency Initiative (GYEITI),                                </w:t>
        </w:r>
      </w:p>
      <w:p w14:paraId="3643262C" w14:textId="77777777" w:rsidR="001D210A" w:rsidRPr="001D210A" w:rsidRDefault="001D210A" w:rsidP="001D210A">
        <w:pPr>
          <w:pBdr>
            <w:top w:val="single" w:sz="6" w:space="10" w:color="5B9BD5"/>
          </w:pBdr>
          <w:jc w:val="center"/>
          <w:rPr>
            <w:rFonts w:ascii="Georgia" w:hAnsi="Georgia"/>
            <w:sz w:val="18"/>
            <w:szCs w:val="18"/>
            <w:lang w:val="en-GB" w:eastAsia="en-GB"/>
          </w:rPr>
        </w:pPr>
        <w:r w:rsidRPr="001D210A">
          <w:rPr>
            <w:rFonts w:ascii="Georgia" w:hAnsi="Georgia"/>
            <w:sz w:val="18"/>
            <w:szCs w:val="18"/>
            <w:lang w:val="en-GB" w:eastAsia="en-GB"/>
          </w:rPr>
          <w:t xml:space="preserve">42 </w:t>
        </w:r>
        <w:proofErr w:type="spellStart"/>
        <w:r w:rsidRPr="001D210A">
          <w:rPr>
            <w:rFonts w:ascii="Georgia" w:hAnsi="Georgia"/>
            <w:sz w:val="18"/>
            <w:szCs w:val="18"/>
            <w:lang w:val="en-GB" w:eastAsia="en-GB"/>
          </w:rPr>
          <w:t>Brickdam</w:t>
        </w:r>
        <w:proofErr w:type="spellEnd"/>
        <w:r w:rsidRPr="001D210A">
          <w:rPr>
            <w:rFonts w:ascii="Georgia" w:hAnsi="Georgia"/>
            <w:sz w:val="18"/>
            <w:szCs w:val="18"/>
            <w:lang w:val="en-GB" w:eastAsia="en-GB"/>
          </w:rPr>
          <w:t xml:space="preserve">, Georgetown, Guyana.                                                                                                                        </w:t>
        </w:r>
      </w:p>
      <w:p w14:paraId="491C4884" w14:textId="77777777" w:rsidR="001D210A" w:rsidRPr="001D210A" w:rsidRDefault="001D210A" w:rsidP="001D210A">
        <w:pPr>
          <w:pBdr>
            <w:top w:val="single" w:sz="6" w:space="10" w:color="5B9BD5"/>
          </w:pBdr>
          <w:jc w:val="center"/>
          <w:rPr>
            <w:rFonts w:ascii="Georgia" w:hAnsi="Georgia"/>
            <w:sz w:val="18"/>
            <w:szCs w:val="18"/>
            <w:lang w:val="en-GB" w:eastAsia="en-GB"/>
          </w:rPr>
        </w:pPr>
        <w:r w:rsidRPr="001D210A">
          <w:rPr>
            <w:rFonts w:ascii="Georgia" w:hAnsi="Georgia"/>
            <w:sz w:val="18"/>
            <w:szCs w:val="18"/>
            <w:lang w:val="en-GB" w:eastAsia="en-GB"/>
          </w:rPr>
          <w:t xml:space="preserve">Tel: (592) 231-1205; 1252       Email: </w:t>
        </w:r>
        <w:hyperlink r:id="rId1" w:history="1">
          <w:r w:rsidRPr="001D210A">
            <w:rPr>
              <w:rFonts w:ascii="Georgia" w:hAnsi="Georgia"/>
              <w:color w:val="0563C1"/>
              <w:sz w:val="18"/>
              <w:szCs w:val="18"/>
              <w:u w:val="single"/>
              <w:lang w:val="en-GB" w:eastAsia="en-GB"/>
            </w:rPr>
            <w:t>gyeiti@nre.gov.gy</w:t>
          </w:r>
        </w:hyperlink>
        <w:r w:rsidRPr="001D210A">
          <w:rPr>
            <w:rFonts w:ascii="Georgia" w:hAnsi="Georgia"/>
            <w:sz w:val="18"/>
            <w:szCs w:val="18"/>
            <w:lang w:val="en-GB" w:eastAsia="en-GB"/>
          </w:rPr>
          <w:t xml:space="preserve">      Website:</w:t>
        </w:r>
        <w:r w:rsidRPr="001D210A">
          <w:rPr>
            <w:rFonts w:ascii="Calibri" w:hAnsi="Calibri"/>
            <w:sz w:val="20"/>
            <w:szCs w:val="20"/>
          </w:rPr>
          <w:t xml:space="preserve"> </w:t>
        </w:r>
        <w:hyperlink r:id="rId2" w:history="1">
          <w:r w:rsidRPr="001D210A">
            <w:rPr>
              <w:rFonts w:ascii="Georgia" w:hAnsi="Georgia"/>
              <w:color w:val="0563C1"/>
              <w:sz w:val="18"/>
              <w:szCs w:val="18"/>
              <w:u w:val="single"/>
              <w:lang w:val="en-GB" w:eastAsia="en-GB"/>
            </w:rPr>
            <w:t>https://eiti.gy/</w:t>
          </w:r>
        </w:hyperlink>
        <w:r w:rsidRPr="001D210A">
          <w:rPr>
            <w:rFonts w:ascii="Georgia" w:hAnsi="Georgia"/>
            <w:sz w:val="18"/>
            <w:szCs w:val="18"/>
            <w:lang w:val="en-GB" w:eastAsia="en-GB"/>
          </w:rPr>
          <w:t xml:space="preserve"> </w:t>
        </w:r>
      </w:p>
      <w:p w14:paraId="5D16C452" w14:textId="77777777" w:rsidR="001D210A" w:rsidRPr="001D210A" w:rsidRDefault="001D210A" w:rsidP="001D210A">
        <w:pPr>
          <w:tabs>
            <w:tab w:val="center" w:pos="4513"/>
            <w:tab w:val="right" w:pos="9026"/>
          </w:tabs>
          <w:rPr>
            <w:rFonts w:ascii="Aptos" w:eastAsia="Aptos" w:hAnsi="Aptos"/>
            <w:kern w:val="2"/>
            <w:sz w:val="22"/>
            <w:szCs w:val="22"/>
            <w14:ligatures w14:val="standardContextual"/>
          </w:rPr>
        </w:pPr>
      </w:p>
      <w:p w14:paraId="786DC5BD" w14:textId="4D766BDC" w:rsidR="00532AB8" w:rsidRDefault="00532AB8">
        <w:pPr>
          <w:pStyle w:val="Footer1"/>
          <w:jc w:val="center"/>
        </w:pPr>
        <w:r>
          <w:fldChar w:fldCharType="begin"/>
        </w:r>
        <w:r>
          <w:instrText xml:space="preserve"> PAGE   \* MERGEFORMAT </w:instrText>
        </w:r>
        <w:r>
          <w:fldChar w:fldCharType="separate"/>
        </w:r>
        <w:r>
          <w:rPr>
            <w:noProof/>
          </w:rPr>
          <w:t>2</w:t>
        </w:r>
        <w:r>
          <w:rPr>
            <w:noProof/>
          </w:rPr>
          <w:fldChar w:fldCharType="end"/>
        </w:r>
      </w:p>
    </w:sdtContent>
  </w:sdt>
  <w:p w14:paraId="2647E1FE" w14:textId="77777777" w:rsidR="00532AB8" w:rsidRDefault="00532AB8">
    <w:pPr>
      <w:pStyle w:val="Footer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7D0D1" w14:textId="10BED8D9" w:rsidR="00D613F1" w:rsidRPr="00D613F1" w:rsidRDefault="00D613F1" w:rsidP="00D613F1">
    <w:pPr>
      <w:pBdr>
        <w:top w:val="single" w:sz="6" w:space="10" w:color="5B9BD5"/>
      </w:pBdr>
      <w:jc w:val="center"/>
      <w:rPr>
        <w:rFonts w:ascii="Georgia" w:hAnsi="Georgia"/>
        <w:sz w:val="18"/>
        <w:szCs w:val="18"/>
        <w:lang w:val="en-GB" w:eastAsia="en-GB"/>
      </w:rPr>
    </w:pPr>
    <w:r w:rsidRPr="00D613F1">
      <w:rPr>
        <w:rFonts w:ascii="Georgia" w:hAnsi="Georgia"/>
        <w:sz w:val="18"/>
        <w:szCs w:val="18"/>
        <w:lang w:val="en-GB" w:eastAsia="en-GB"/>
      </w:rPr>
      <w:t xml:space="preserve">National Secretariat, Guyana Extractive Industries Transparency Initiative (GYEITI),                                </w:t>
    </w:r>
  </w:p>
  <w:p w14:paraId="3822AC55" w14:textId="77777777" w:rsidR="00D613F1" w:rsidRPr="00D613F1" w:rsidRDefault="00D613F1" w:rsidP="00D613F1">
    <w:pPr>
      <w:pBdr>
        <w:top w:val="single" w:sz="6" w:space="10" w:color="5B9BD5"/>
      </w:pBdr>
      <w:jc w:val="center"/>
      <w:rPr>
        <w:rFonts w:ascii="Georgia" w:hAnsi="Georgia"/>
        <w:sz w:val="18"/>
        <w:szCs w:val="18"/>
        <w:lang w:val="en-GB" w:eastAsia="en-GB"/>
      </w:rPr>
    </w:pPr>
    <w:r w:rsidRPr="00D613F1">
      <w:rPr>
        <w:rFonts w:ascii="Georgia" w:hAnsi="Georgia"/>
        <w:sz w:val="18"/>
        <w:szCs w:val="18"/>
        <w:lang w:val="en-GB" w:eastAsia="en-GB"/>
      </w:rPr>
      <w:t xml:space="preserve">42 </w:t>
    </w:r>
    <w:proofErr w:type="spellStart"/>
    <w:r w:rsidRPr="00D613F1">
      <w:rPr>
        <w:rFonts w:ascii="Georgia" w:hAnsi="Georgia"/>
        <w:sz w:val="18"/>
        <w:szCs w:val="18"/>
        <w:lang w:val="en-GB" w:eastAsia="en-GB"/>
      </w:rPr>
      <w:t>Brickdam</w:t>
    </w:r>
    <w:proofErr w:type="spellEnd"/>
    <w:r w:rsidRPr="00D613F1">
      <w:rPr>
        <w:rFonts w:ascii="Georgia" w:hAnsi="Georgia"/>
        <w:sz w:val="18"/>
        <w:szCs w:val="18"/>
        <w:lang w:val="en-GB" w:eastAsia="en-GB"/>
      </w:rPr>
      <w:t xml:space="preserve">, Georgetown, Guyana.                                                                                                                        </w:t>
    </w:r>
  </w:p>
  <w:p w14:paraId="2539FA85" w14:textId="77777777" w:rsidR="00D613F1" w:rsidRPr="00D613F1" w:rsidRDefault="00D613F1" w:rsidP="00D613F1">
    <w:pPr>
      <w:pBdr>
        <w:top w:val="single" w:sz="6" w:space="10" w:color="5B9BD5"/>
      </w:pBdr>
      <w:jc w:val="center"/>
      <w:rPr>
        <w:rFonts w:ascii="Georgia" w:hAnsi="Georgia"/>
        <w:sz w:val="18"/>
        <w:szCs w:val="18"/>
        <w:lang w:val="en-GB" w:eastAsia="en-GB"/>
      </w:rPr>
    </w:pPr>
    <w:r w:rsidRPr="00D613F1">
      <w:rPr>
        <w:rFonts w:ascii="Georgia" w:hAnsi="Georgia"/>
        <w:sz w:val="18"/>
        <w:szCs w:val="18"/>
        <w:lang w:val="en-GB" w:eastAsia="en-GB"/>
      </w:rPr>
      <w:t xml:space="preserve">Tel: (592) 231-1205; 1252       Email: </w:t>
    </w:r>
    <w:hyperlink r:id="rId1" w:history="1">
      <w:r w:rsidRPr="00D613F1">
        <w:rPr>
          <w:rFonts w:ascii="Georgia" w:hAnsi="Georgia"/>
          <w:color w:val="0563C1"/>
          <w:sz w:val="18"/>
          <w:szCs w:val="18"/>
          <w:u w:val="single"/>
          <w:lang w:val="en-GB" w:eastAsia="en-GB"/>
        </w:rPr>
        <w:t>gyeiti@nre.gov.gy</w:t>
      </w:r>
    </w:hyperlink>
    <w:r w:rsidRPr="00D613F1">
      <w:rPr>
        <w:rFonts w:ascii="Georgia" w:hAnsi="Georgia"/>
        <w:sz w:val="18"/>
        <w:szCs w:val="18"/>
        <w:lang w:val="en-GB" w:eastAsia="en-GB"/>
      </w:rPr>
      <w:t xml:space="preserve">      Website:</w:t>
    </w:r>
    <w:r w:rsidRPr="00D613F1">
      <w:rPr>
        <w:rFonts w:ascii="Calibri" w:hAnsi="Calibri"/>
        <w:sz w:val="20"/>
        <w:szCs w:val="20"/>
      </w:rPr>
      <w:t xml:space="preserve"> </w:t>
    </w:r>
    <w:hyperlink r:id="rId2" w:history="1">
      <w:r w:rsidRPr="00D613F1">
        <w:rPr>
          <w:rFonts w:ascii="Georgia" w:hAnsi="Georgia"/>
          <w:color w:val="0563C1"/>
          <w:sz w:val="18"/>
          <w:szCs w:val="18"/>
          <w:u w:val="single"/>
          <w:lang w:val="en-GB" w:eastAsia="en-GB"/>
        </w:rPr>
        <w:t>https://eiti.gy/</w:t>
      </w:r>
    </w:hyperlink>
    <w:r w:rsidRPr="00D613F1">
      <w:rPr>
        <w:rFonts w:ascii="Georgia" w:hAnsi="Georgia"/>
        <w:sz w:val="18"/>
        <w:szCs w:val="18"/>
        <w:lang w:val="en-GB" w:eastAsia="en-GB"/>
      </w:rPr>
      <w:t xml:space="preserve"> </w:t>
    </w:r>
  </w:p>
  <w:p w14:paraId="3C4C784A" w14:textId="77777777" w:rsidR="00D613F1" w:rsidRPr="00D613F1" w:rsidRDefault="00D613F1" w:rsidP="00D613F1">
    <w:pPr>
      <w:tabs>
        <w:tab w:val="center" w:pos="4513"/>
        <w:tab w:val="right" w:pos="9026"/>
      </w:tabs>
      <w:rPr>
        <w:rFonts w:ascii="Aptos" w:eastAsia="Aptos" w:hAnsi="Aptos"/>
        <w:kern w:val="2"/>
        <w:sz w:val="22"/>
        <w:szCs w:val="22"/>
        <w14:ligatures w14:val="standardContextual"/>
      </w:rPr>
    </w:pPr>
  </w:p>
  <w:p w14:paraId="058906DF" w14:textId="1175957C" w:rsidR="00532AB8" w:rsidRDefault="00532AB8">
    <w:pPr>
      <w:pStyle w:val="Footer1"/>
    </w:pPr>
    <w:r w:rsidRPr="001D717A">
      <w:rPr>
        <w:noProof/>
        <w:color w:val="4472C4"/>
      </w:rPr>
      <mc:AlternateContent>
        <mc:Choice Requires="wps">
          <w:drawing>
            <wp:anchor distT="0" distB="0" distL="114300" distR="114300" simplePos="0" relativeHeight="251659264" behindDoc="0" locked="0" layoutInCell="1" allowOverlap="1" wp14:anchorId="50B6D94E" wp14:editId="11BB5AAF">
              <wp:simplePos x="0" y="0"/>
              <wp:positionH relativeFrom="page">
                <wp:align>center</wp:align>
              </wp:positionH>
              <wp:positionV relativeFrom="page">
                <wp:align>center</wp:align>
              </wp:positionV>
              <wp:extent cx="7364730" cy="9528810"/>
              <wp:effectExtent l="0" t="0" r="26670" b="26670"/>
              <wp:wrapNone/>
              <wp:docPr id="452"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1CBB9147" id="Rectangle 77"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" filled="f" strokecolor="#767171" strokeweight="1.25pt">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BF574" w14:textId="77777777" w:rsidR="007D2B17" w:rsidRPr="00D613F1" w:rsidRDefault="007D2B17" w:rsidP="00D613F1">
    <w:pPr>
      <w:pBdr>
        <w:top w:val="single" w:sz="6" w:space="10" w:color="5B9BD5"/>
      </w:pBdr>
      <w:jc w:val="center"/>
      <w:rPr>
        <w:rFonts w:ascii="Georgia" w:hAnsi="Georgia"/>
        <w:sz w:val="18"/>
        <w:szCs w:val="18"/>
        <w:lang w:val="en-GB" w:eastAsia="en-GB"/>
      </w:rPr>
    </w:pPr>
    <w:r w:rsidRPr="00D613F1">
      <w:rPr>
        <w:rFonts w:ascii="Georgia" w:hAnsi="Georgia"/>
        <w:sz w:val="18"/>
        <w:szCs w:val="18"/>
        <w:lang w:val="en-GB" w:eastAsia="en-GB"/>
      </w:rPr>
      <w:t xml:space="preserve">National Secretariat, Guyana Extractive Industries Transparency Initiative (GYEITI),                                </w:t>
    </w:r>
  </w:p>
  <w:p w14:paraId="73643B8E" w14:textId="77777777" w:rsidR="007D2B17" w:rsidRPr="00D613F1" w:rsidRDefault="007D2B17" w:rsidP="00D613F1">
    <w:pPr>
      <w:pBdr>
        <w:top w:val="single" w:sz="6" w:space="10" w:color="5B9BD5"/>
      </w:pBdr>
      <w:jc w:val="center"/>
      <w:rPr>
        <w:rFonts w:ascii="Georgia" w:hAnsi="Georgia"/>
        <w:sz w:val="18"/>
        <w:szCs w:val="18"/>
        <w:lang w:val="en-GB" w:eastAsia="en-GB"/>
      </w:rPr>
    </w:pPr>
    <w:r w:rsidRPr="00D613F1">
      <w:rPr>
        <w:rFonts w:ascii="Georgia" w:hAnsi="Georgia"/>
        <w:sz w:val="18"/>
        <w:szCs w:val="18"/>
        <w:lang w:val="en-GB" w:eastAsia="en-GB"/>
      </w:rPr>
      <w:t xml:space="preserve">42 </w:t>
    </w:r>
    <w:proofErr w:type="spellStart"/>
    <w:r w:rsidRPr="00D613F1">
      <w:rPr>
        <w:rFonts w:ascii="Georgia" w:hAnsi="Georgia"/>
        <w:sz w:val="18"/>
        <w:szCs w:val="18"/>
        <w:lang w:val="en-GB" w:eastAsia="en-GB"/>
      </w:rPr>
      <w:t>Brickdam</w:t>
    </w:r>
    <w:proofErr w:type="spellEnd"/>
    <w:r w:rsidRPr="00D613F1">
      <w:rPr>
        <w:rFonts w:ascii="Georgia" w:hAnsi="Georgia"/>
        <w:sz w:val="18"/>
        <w:szCs w:val="18"/>
        <w:lang w:val="en-GB" w:eastAsia="en-GB"/>
      </w:rPr>
      <w:t xml:space="preserve">, Georgetown, Guyana.                                                                                                                        </w:t>
    </w:r>
  </w:p>
  <w:p w14:paraId="674D9D50" w14:textId="77777777" w:rsidR="007D2B17" w:rsidRPr="00D613F1" w:rsidRDefault="007D2B17" w:rsidP="00D613F1">
    <w:pPr>
      <w:pBdr>
        <w:top w:val="single" w:sz="6" w:space="10" w:color="5B9BD5"/>
      </w:pBdr>
      <w:jc w:val="center"/>
      <w:rPr>
        <w:rFonts w:ascii="Georgia" w:hAnsi="Georgia"/>
        <w:sz w:val="18"/>
        <w:szCs w:val="18"/>
        <w:lang w:val="en-GB" w:eastAsia="en-GB"/>
      </w:rPr>
    </w:pPr>
    <w:r w:rsidRPr="00D613F1">
      <w:rPr>
        <w:rFonts w:ascii="Georgia" w:hAnsi="Georgia"/>
        <w:sz w:val="18"/>
        <w:szCs w:val="18"/>
        <w:lang w:val="en-GB" w:eastAsia="en-GB"/>
      </w:rPr>
      <w:t xml:space="preserve">Tel: (592) 231-1205; 1252       Email: </w:t>
    </w:r>
    <w:hyperlink r:id="rId1" w:history="1">
      <w:r w:rsidRPr="00D613F1">
        <w:rPr>
          <w:rFonts w:ascii="Georgia" w:hAnsi="Georgia"/>
          <w:color w:val="0563C1"/>
          <w:sz w:val="18"/>
          <w:szCs w:val="18"/>
          <w:u w:val="single"/>
          <w:lang w:val="en-GB" w:eastAsia="en-GB"/>
        </w:rPr>
        <w:t>gyeiti@nre.gov.gy</w:t>
      </w:r>
    </w:hyperlink>
    <w:r w:rsidRPr="00D613F1">
      <w:rPr>
        <w:rFonts w:ascii="Georgia" w:hAnsi="Georgia"/>
        <w:sz w:val="18"/>
        <w:szCs w:val="18"/>
        <w:lang w:val="en-GB" w:eastAsia="en-GB"/>
      </w:rPr>
      <w:t xml:space="preserve">      Website:</w:t>
    </w:r>
    <w:r w:rsidRPr="00D613F1">
      <w:rPr>
        <w:rFonts w:ascii="Calibri" w:hAnsi="Calibri"/>
        <w:sz w:val="20"/>
        <w:szCs w:val="20"/>
      </w:rPr>
      <w:t xml:space="preserve"> </w:t>
    </w:r>
    <w:hyperlink r:id="rId2" w:history="1">
      <w:r w:rsidRPr="00D613F1">
        <w:rPr>
          <w:rFonts w:ascii="Georgia" w:hAnsi="Georgia"/>
          <w:color w:val="0563C1"/>
          <w:sz w:val="18"/>
          <w:szCs w:val="18"/>
          <w:u w:val="single"/>
          <w:lang w:val="en-GB" w:eastAsia="en-GB"/>
        </w:rPr>
        <w:t>https://eiti.gy/</w:t>
      </w:r>
    </w:hyperlink>
    <w:r w:rsidRPr="00D613F1">
      <w:rPr>
        <w:rFonts w:ascii="Georgia" w:hAnsi="Georgia"/>
        <w:sz w:val="18"/>
        <w:szCs w:val="18"/>
        <w:lang w:val="en-GB" w:eastAsia="en-GB"/>
      </w:rPr>
      <w:t xml:space="preserve"> </w:t>
    </w:r>
  </w:p>
  <w:p w14:paraId="2798E11A" w14:textId="77777777" w:rsidR="007D2B17" w:rsidRPr="00D613F1" w:rsidRDefault="007D2B17" w:rsidP="00D613F1">
    <w:pPr>
      <w:tabs>
        <w:tab w:val="center" w:pos="4513"/>
        <w:tab w:val="right" w:pos="9026"/>
      </w:tabs>
      <w:rPr>
        <w:rFonts w:ascii="Aptos" w:eastAsia="Aptos" w:hAnsi="Aptos"/>
        <w:kern w:val="2"/>
        <w:sz w:val="22"/>
        <w:szCs w:val="22"/>
        <w14:ligatures w14:val="standardContextual"/>
      </w:rPr>
    </w:pPr>
  </w:p>
  <w:p w14:paraId="2F007086" w14:textId="77777777" w:rsidR="007D2B17" w:rsidRDefault="007D2B17">
    <w:pPr>
      <w:pStyle w:val="Footer1"/>
    </w:pPr>
    <w:r w:rsidRPr="001D717A">
      <w:rPr>
        <w:noProof/>
        <w:color w:val="4472C4"/>
      </w:rPr>
      <mc:AlternateContent>
        <mc:Choice Requires="wps">
          <w:drawing>
            <wp:anchor distT="0" distB="0" distL="114300" distR="114300" simplePos="0" relativeHeight="251661312" behindDoc="0" locked="0" layoutInCell="1" allowOverlap="1" wp14:anchorId="3EE9827F" wp14:editId="1F40165C">
              <wp:simplePos x="0" y="0"/>
              <wp:positionH relativeFrom="page">
                <wp:align>center</wp:align>
              </wp:positionH>
              <wp:positionV relativeFrom="page">
                <wp:align>center</wp:align>
              </wp:positionV>
              <wp:extent cx="7364730" cy="9528810"/>
              <wp:effectExtent l="0" t="0" r="26670" b="26670"/>
              <wp:wrapNone/>
              <wp:docPr id="1254305121" name="Rectangle 77"/>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cap="flat" cmpd="sng" algn="ctr">
                        <a:solidFill>
                          <a:srgbClr val="E7E6E6">
                            <a:lumMod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718AE788" id="Rectangle 77"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" filled="f" strokecolor="#767171" strokeweight="1.25pt">
              <w10:wrap anchorx="page"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AC5611" w14:textId="77777777" w:rsidR="00375BB0" w:rsidRDefault="00375BB0">
      <w:r>
        <w:separator/>
      </w:r>
    </w:p>
  </w:footnote>
  <w:footnote w:type="continuationSeparator" w:id="0">
    <w:p w14:paraId="62AB753D" w14:textId="77777777" w:rsidR="00375BB0" w:rsidRDefault="00375B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42D2"/>
    <w:multiLevelType w:val="hybridMultilevel"/>
    <w:tmpl w:val="7C5C3548"/>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2FB73D2"/>
    <w:multiLevelType w:val="multilevel"/>
    <w:tmpl w:val="03BE0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0238D"/>
    <w:multiLevelType w:val="multilevel"/>
    <w:tmpl w:val="2D440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59838FB"/>
    <w:multiLevelType w:val="hybridMultilevel"/>
    <w:tmpl w:val="F2F2BE2E"/>
    <w:lvl w:ilvl="0" w:tplc="E62495A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5BA67F0"/>
    <w:multiLevelType w:val="multilevel"/>
    <w:tmpl w:val="63622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7B2588C"/>
    <w:multiLevelType w:val="multilevel"/>
    <w:tmpl w:val="69AEAD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7CD041F"/>
    <w:multiLevelType w:val="multilevel"/>
    <w:tmpl w:val="7A188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D945C9"/>
    <w:multiLevelType w:val="hybridMultilevel"/>
    <w:tmpl w:val="71786E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7DA69C6"/>
    <w:multiLevelType w:val="multilevel"/>
    <w:tmpl w:val="29C4C6DC"/>
    <w:lvl w:ilvl="0">
      <w:start w:val="1"/>
      <w:numFmt w:val="decimal"/>
      <w:lvlText w:val="%1.0"/>
      <w:lvlJc w:val="left"/>
      <w:pPr>
        <w:ind w:left="72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9" w15:restartNumberingAfterBreak="0">
    <w:nsid w:val="07F331E3"/>
    <w:multiLevelType w:val="hybridMultilevel"/>
    <w:tmpl w:val="51DA6ADE"/>
    <w:lvl w:ilvl="0" w:tplc="EA08E582">
      <w:start w:val="1"/>
      <w:numFmt w:val="lowerRoman"/>
      <w:lvlText w:val="(%1)"/>
      <w:lvlJc w:val="left"/>
      <w:pPr>
        <w:ind w:left="2070" w:hanging="108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0" w15:restartNumberingAfterBreak="0">
    <w:nsid w:val="09E11EA3"/>
    <w:multiLevelType w:val="hybridMultilevel"/>
    <w:tmpl w:val="70DAD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ADA6EE0"/>
    <w:multiLevelType w:val="multilevel"/>
    <w:tmpl w:val="D37CDC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C717D7"/>
    <w:multiLevelType w:val="hybridMultilevel"/>
    <w:tmpl w:val="ECF03F70"/>
    <w:lvl w:ilvl="0" w:tplc="BD8AFA1E">
      <w:numFmt w:val="bullet"/>
      <w:lvlText w:val="-"/>
      <w:lvlJc w:val="left"/>
      <w:pPr>
        <w:ind w:left="580" w:hanging="360"/>
      </w:pPr>
      <w:rPr>
        <w:rFonts w:ascii="Yu Gothic" w:eastAsia="Yu Gothic" w:hAnsi="Yu Gothic" w:cs="Times New Roman" w:hint="eastAsia"/>
      </w:rPr>
    </w:lvl>
    <w:lvl w:ilvl="1" w:tplc="04090003" w:tentative="1">
      <w:start w:val="1"/>
      <w:numFmt w:val="bullet"/>
      <w:lvlText w:val="o"/>
      <w:lvlJc w:val="left"/>
      <w:pPr>
        <w:ind w:left="1300" w:hanging="360"/>
      </w:pPr>
      <w:rPr>
        <w:rFonts w:ascii="Courier New" w:hAnsi="Courier New" w:cs="Courier New" w:hint="default"/>
      </w:rPr>
    </w:lvl>
    <w:lvl w:ilvl="2" w:tplc="04090005" w:tentative="1">
      <w:start w:val="1"/>
      <w:numFmt w:val="bullet"/>
      <w:lvlText w:val=""/>
      <w:lvlJc w:val="left"/>
      <w:pPr>
        <w:ind w:left="2020" w:hanging="360"/>
      </w:pPr>
      <w:rPr>
        <w:rFonts w:ascii="Wingdings" w:hAnsi="Wingdings" w:hint="default"/>
      </w:rPr>
    </w:lvl>
    <w:lvl w:ilvl="3" w:tplc="04090001" w:tentative="1">
      <w:start w:val="1"/>
      <w:numFmt w:val="bullet"/>
      <w:lvlText w:val=""/>
      <w:lvlJc w:val="left"/>
      <w:pPr>
        <w:ind w:left="2740" w:hanging="360"/>
      </w:pPr>
      <w:rPr>
        <w:rFonts w:ascii="Symbol" w:hAnsi="Symbol" w:hint="default"/>
      </w:rPr>
    </w:lvl>
    <w:lvl w:ilvl="4" w:tplc="04090003" w:tentative="1">
      <w:start w:val="1"/>
      <w:numFmt w:val="bullet"/>
      <w:lvlText w:val="o"/>
      <w:lvlJc w:val="left"/>
      <w:pPr>
        <w:ind w:left="3460" w:hanging="360"/>
      </w:pPr>
      <w:rPr>
        <w:rFonts w:ascii="Courier New" w:hAnsi="Courier New" w:cs="Courier New" w:hint="default"/>
      </w:rPr>
    </w:lvl>
    <w:lvl w:ilvl="5" w:tplc="04090005" w:tentative="1">
      <w:start w:val="1"/>
      <w:numFmt w:val="bullet"/>
      <w:lvlText w:val=""/>
      <w:lvlJc w:val="left"/>
      <w:pPr>
        <w:ind w:left="4180" w:hanging="360"/>
      </w:pPr>
      <w:rPr>
        <w:rFonts w:ascii="Wingdings" w:hAnsi="Wingdings" w:hint="default"/>
      </w:rPr>
    </w:lvl>
    <w:lvl w:ilvl="6" w:tplc="04090001" w:tentative="1">
      <w:start w:val="1"/>
      <w:numFmt w:val="bullet"/>
      <w:lvlText w:val=""/>
      <w:lvlJc w:val="left"/>
      <w:pPr>
        <w:ind w:left="4900" w:hanging="360"/>
      </w:pPr>
      <w:rPr>
        <w:rFonts w:ascii="Symbol" w:hAnsi="Symbol" w:hint="default"/>
      </w:rPr>
    </w:lvl>
    <w:lvl w:ilvl="7" w:tplc="04090003" w:tentative="1">
      <w:start w:val="1"/>
      <w:numFmt w:val="bullet"/>
      <w:lvlText w:val="o"/>
      <w:lvlJc w:val="left"/>
      <w:pPr>
        <w:ind w:left="5620" w:hanging="360"/>
      </w:pPr>
      <w:rPr>
        <w:rFonts w:ascii="Courier New" w:hAnsi="Courier New" w:cs="Courier New" w:hint="default"/>
      </w:rPr>
    </w:lvl>
    <w:lvl w:ilvl="8" w:tplc="04090005" w:tentative="1">
      <w:start w:val="1"/>
      <w:numFmt w:val="bullet"/>
      <w:lvlText w:val=""/>
      <w:lvlJc w:val="left"/>
      <w:pPr>
        <w:ind w:left="6340" w:hanging="360"/>
      </w:pPr>
      <w:rPr>
        <w:rFonts w:ascii="Wingdings" w:hAnsi="Wingdings" w:hint="default"/>
      </w:rPr>
    </w:lvl>
  </w:abstractNum>
  <w:abstractNum w:abstractNumId="13" w15:restartNumberingAfterBreak="0">
    <w:nsid w:val="0FFC64DE"/>
    <w:multiLevelType w:val="multilevel"/>
    <w:tmpl w:val="B28E8E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315954"/>
    <w:multiLevelType w:val="hybridMultilevel"/>
    <w:tmpl w:val="34C859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09B45E8"/>
    <w:multiLevelType w:val="multilevel"/>
    <w:tmpl w:val="9920C718"/>
    <w:lvl w:ilvl="0">
      <w:start w:val="1"/>
      <w:numFmt w:val="decimal"/>
      <w:lvlText w:val="%1."/>
      <w:lvlJc w:val="left"/>
      <w:pPr>
        <w:ind w:left="540" w:hanging="360"/>
      </w:pPr>
      <w:rPr>
        <w:rFonts w:hint="default"/>
      </w:rPr>
    </w:lvl>
    <w:lvl w:ilvl="1">
      <w:start w:val="3"/>
      <w:numFmt w:val="decimal"/>
      <w:isLgl/>
      <w:lvlText w:val="%1.%2."/>
      <w:lvlJc w:val="left"/>
      <w:pPr>
        <w:ind w:left="900" w:hanging="72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1260" w:hanging="108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620" w:hanging="144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980" w:hanging="1800"/>
      </w:pPr>
      <w:rPr>
        <w:rFonts w:hint="default"/>
      </w:rPr>
    </w:lvl>
    <w:lvl w:ilvl="8">
      <w:start w:val="1"/>
      <w:numFmt w:val="decimal"/>
      <w:isLgl/>
      <w:lvlText w:val="%1.%2.%3.%4.%5.%6.%7.%8.%9."/>
      <w:lvlJc w:val="left"/>
      <w:pPr>
        <w:ind w:left="1980" w:hanging="1800"/>
      </w:pPr>
      <w:rPr>
        <w:rFonts w:hint="default"/>
      </w:rPr>
    </w:lvl>
  </w:abstractNum>
  <w:abstractNum w:abstractNumId="16" w15:restartNumberingAfterBreak="0">
    <w:nsid w:val="11D8446E"/>
    <w:multiLevelType w:val="hybridMultilevel"/>
    <w:tmpl w:val="154A354E"/>
    <w:lvl w:ilvl="0" w:tplc="D73CD272">
      <w:start w:val="1"/>
      <w:numFmt w:val="lowerRoman"/>
      <w:lvlText w:val="(%1)"/>
      <w:lvlJc w:val="left"/>
      <w:pPr>
        <w:ind w:left="1440" w:hanging="720"/>
      </w:pPr>
      <w:rPr>
        <w:rFonts w:hint="default"/>
        <w:b/>
        <w:u w:val="singl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12CD6E56"/>
    <w:multiLevelType w:val="hybridMultilevel"/>
    <w:tmpl w:val="F79A697A"/>
    <w:lvl w:ilvl="0" w:tplc="E66E98BC">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3386FAF"/>
    <w:multiLevelType w:val="multilevel"/>
    <w:tmpl w:val="93EA10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4C038CA"/>
    <w:multiLevelType w:val="hybridMultilevel"/>
    <w:tmpl w:val="CDBC26A2"/>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0" w15:restartNumberingAfterBreak="0">
    <w:nsid w:val="17AC6337"/>
    <w:multiLevelType w:val="multilevel"/>
    <w:tmpl w:val="DE422C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84004F0"/>
    <w:multiLevelType w:val="hybridMultilevel"/>
    <w:tmpl w:val="4866F828"/>
    <w:lvl w:ilvl="0" w:tplc="117412A2">
      <w:start w:val="2"/>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90D3DAC"/>
    <w:multiLevelType w:val="hybridMultilevel"/>
    <w:tmpl w:val="FBC8CF38"/>
    <w:lvl w:ilvl="0" w:tplc="FEC214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1975573D"/>
    <w:multiLevelType w:val="multilevel"/>
    <w:tmpl w:val="FCF272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1CCD1B28"/>
    <w:multiLevelType w:val="hybridMultilevel"/>
    <w:tmpl w:val="7FC42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0B31CC9"/>
    <w:multiLevelType w:val="multilevel"/>
    <w:tmpl w:val="DD907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22BC4C4C"/>
    <w:multiLevelType w:val="multilevel"/>
    <w:tmpl w:val="714A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22F43368"/>
    <w:multiLevelType w:val="multilevel"/>
    <w:tmpl w:val="D7C8B8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64F58D0"/>
    <w:multiLevelType w:val="multilevel"/>
    <w:tmpl w:val="F6CC74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76910EC"/>
    <w:multiLevelType w:val="hybridMultilevel"/>
    <w:tmpl w:val="E3DCEAC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2AB63942"/>
    <w:multiLevelType w:val="hybridMultilevel"/>
    <w:tmpl w:val="B5785B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2AC45397"/>
    <w:multiLevelType w:val="hybridMultilevel"/>
    <w:tmpl w:val="7C5C3548"/>
    <w:lvl w:ilvl="0" w:tplc="FFFFFFFF">
      <w:start w:val="1"/>
      <w:numFmt w:val="decimal"/>
      <w:lvlText w:val="%1."/>
      <w:lvlJc w:val="left"/>
      <w:pPr>
        <w:ind w:left="720" w:hanging="360"/>
      </w:pPr>
      <w:rPr>
        <w:rFonts w:cs="Times New Roman"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D9E4B7A"/>
    <w:multiLevelType w:val="hybridMultilevel"/>
    <w:tmpl w:val="B6E4F6B4"/>
    <w:lvl w:ilvl="0" w:tplc="0409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33" w15:restartNumberingAfterBreak="0">
    <w:nsid w:val="2E646C63"/>
    <w:multiLevelType w:val="multilevel"/>
    <w:tmpl w:val="9920C718"/>
    <w:lvl w:ilvl="0">
      <w:start w:val="1"/>
      <w:numFmt w:val="decimal"/>
      <w:lvlText w:val="%1."/>
      <w:lvlJc w:val="left"/>
      <w:pPr>
        <w:ind w:left="540" w:hanging="360"/>
      </w:pPr>
      <w:rPr>
        <w:rFonts w:hint="default"/>
      </w:rPr>
    </w:lvl>
    <w:lvl w:ilvl="1">
      <w:start w:val="3"/>
      <w:numFmt w:val="decimal"/>
      <w:isLgl/>
      <w:lvlText w:val="%1.%2."/>
      <w:lvlJc w:val="left"/>
      <w:pPr>
        <w:ind w:left="900" w:hanging="720"/>
      </w:pPr>
      <w:rPr>
        <w:rFonts w:hint="default"/>
      </w:rPr>
    </w:lvl>
    <w:lvl w:ilvl="2">
      <w:start w:val="1"/>
      <w:numFmt w:val="decimal"/>
      <w:isLgl/>
      <w:lvlText w:val="%1.%2.%3."/>
      <w:lvlJc w:val="left"/>
      <w:pPr>
        <w:ind w:left="900" w:hanging="720"/>
      </w:pPr>
      <w:rPr>
        <w:rFonts w:hint="default"/>
      </w:rPr>
    </w:lvl>
    <w:lvl w:ilvl="3">
      <w:start w:val="1"/>
      <w:numFmt w:val="decimal"/>
      <w:isLgl/>
      <w:lvlText w:val="%1.%2.%3.%4."/>
      <w:lvlJc w:val="left"/>
      <w:pPr>
        <w:ind w:left="1260" w:hanging="1080"/>
      </w:pPr>
      <w:rPr>
        <w:rFonts w:hint="default"/>
      </w:rPr>
    </w:lvl>
    <w:lvl w:ilvl="4">
      <w:start w:val="1"/>
      <w:numFmt w:val="decimal"/>
      <w:isLgl/>
      <w:lvlText w:val="%1.%2.%3.%4.%5."/>
      <w:lvlJc w:val="left"/>
      <w:pPr>
        <w:ind w:left="1260" w:hanging="1080"/>
      </w:pPr>
      <w:rPr>
        <w:rFonts w:hint="default"/>
      </w:rPr>
    </w:lvl>
    <w:lvl w:ilvl="5">
      <w:start w:val="1"/>
      <w:numFmt w:val="decimal"/>
      <w:isLgl/>
      <w:lvlText w:val="%1.%2.%3.%4.%5.%6."/>
      <w:lvlJc w:val="left"/>
      <w:pPr>
        <w:ind w:left="1620" w:hanging="1440"/>
      </w:pPr>
      <w:rPr>
        <w:rFonts w:hint="default"/>
      </w:rPr>
    </w:lvl>
    <w:lvl w:ilvl="6">
      <w:start w:val="1"/>
      <w:numFmt w:val="decimal"/>
      <w:isLgl/>
      <w:lvlText w:val="%1.%2.%3.%4.%5.%6.%7."/>
      <w:lvlJc w:val="left"/>
      <w:pPr>
        <w:ind w:left="1620" w:hanging="1440"/>
      </w:pPr>
      <w:rPr>
        <w:rFonts w:hint="default"/>
      </w:rPr>
    </w:lvl>
    <w:lvl w:ilvl="7">
      <w:start w:val="1"/>
      <w:numFmt w:val="decimal"/>
      <w:isLgl/>
      <w:lvlText w:val="%1.%2.%3.%4.%5.%6.%7.%8."/>
      <w:lvlJc w:val="left"/>
      <w:pPr>
        <w:ind w:left="1980" w:hanging="1800"/>
      </w:pPr>
      <w:rPr>
        <w:rFonts w:hint="default"/>
      </w:rPr>
    </w:lvl>
    <w:lvl w:ilvl="8">
      <w:start w:val="1"/>
      <w:numFmt w:val="decimal"/>
      <w:isLgl/>
      <w:lvlText w:val="%1.%2.%3.%4.%5.%6.%7.%8.%9."/>
      <w:lvlJc w:val="left"/>
      <w:pPr>
        <w:ind w:left="1980" w:hanging="1800"/>
      </w:pPr>
      <w:rPr>
        <w:rFonts w:hint="default"/>
      </w:rPr>
    </w:lvl>
  </w:abstractNum>
  <w:abstractNum w:abstractNumId="34" w15:restartNumberingAfterBreak="0">
    <w:nsid w:val="2F423F6D"/>
    <w:multiLevelType w:val="multilevel"/>
    <w:tmpl w:val="120A7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02D66FE"/>
    <w:multiLevelType w:val="hybridMultilevel"/>
    <w:tmpl w:val="DC5432FA"/>
    <w:lvl w:ilvl="0" w:tplc="FF867BB2">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6" w15:restartNumberingAfterBreak="0">
    <w:nsid w:val="30433E65"/>
    <w:multiLevelType w:val="hybridMultilevel"/>
    <w:tmpl w:val="B4A233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08B0616"/>
    <w:multiLevelType w:val="hybridMultilevel"/>
    <w:tmpl w:val="7CECF76E"/>
    <w:lvl w:ilvl="0" w:tplc="897822FC">
      <w:start w:val="1"/>
      <w:numFmt w:val="lowerRoman"/>
      <w:lvlText w:val="(%1)"/>
      <w:lvlJc w:val="left"/>
      <w:pPr>
        <w:ind w:left="1890" w:hanging="720"/>
      </w:pPr>
      <w:rPr>
        <w:rFonts w:hint="default"/>
        <w:b/>
        <w:color w:val="000000"/>
        <w:u w:val="single"/>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8" w15:restartNumberingAfterBreak="0">
    <w:nsid w:val="3319164C"/>
    <w:multiLevelType w:val="multilevel"/>
    <w:tmpl w:val="2520B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4E85EAE"/>
    <w:multiLevelType w:val="multilevel"/>
    <w:tmpl w:val="2A8A39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53C03FA"/>
    <w:multiLevelType w:val="hybridMultilevel"/>
    <w:tmpl w:val="CD12A3F2"/>
    <w:lvl w:ilvl="0" w:tplc="2F9613D2">
      <w:start w:val="1"/>
      <w:numFmt w:val="low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41" w15:restartNumberingAfterBreak="0">
    <w:nsid w:val="35467F07"/>
    <w:multiLevelType w:val="multilevel"/>
    <w:tmpl w:val="E7EE5A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6C31220"/>
    <w:multiLevelType w:val="hybridMultilevel"/>
    <w:tmpl w:val="6D7804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74474C2"/>
    <w:multiLevelType w:val="multilevel"/>
    <w:tmpl w:val="F760D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37A31FDC"/>
    <w:multiLevelType w:val="multilevel"/>
    <w:tmpl w:val="DED8C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37AA3C14"/>
    <w:multiLevelType w:val="hybridMultilevel"/>
    <w:tmpl w:val="F76C6BCC"/>
    <w:lvl w:ilvl="0" w:tplc="2000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46" w15:restartNumberingAfterBreak="0">
    <w:nsid w:val="382B16B7"/>
    <w:multiLevelType w:val="hybridMultilevel"/>
    <w:tmpl w:val="605C33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A2D05F5"/>
    <w:multiLevelType w:val="multilevel"/>
    <w:tmpl w:val="7D40A5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A8E205F"/>
    <w:multiLevelType w:val="multilevel"/>
    <w:tmpl w:val="47224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BF61C97"/>
    <w:multiLevelType w:val="multilevel"/>
    <w:tmpl w:val="1B26C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C392822"/>
    <w:multiLevelType w:val="hybridMultilevel"/>
    <w:tmpl w:val="FF54F25C"/>
    <w:lvl w:ilvl="0" w:tplc="631460E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1" w15:restartNumberingAfterBreak="0">
    <w:nsid w:val="3D5F2D07"/>
    <w:multiLevelType w:val="multilevel"/>
    <w:tmpl w:val="364A3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08F7AFA"/>
    <w:multiLevelType w:val="multilevel"/>
    <w:tmpl w:val="333CE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0A822F7"/>
    <w:multiLevelType w:val="hybridMultilevel"/>
    <w:tmpl w:val="A9F0DB88"/>
    <w:lvl w:ilvl="0" w:tplc="85B4B37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4" w15:restartNumberingAfterBreak="0">
    <w:nsid w:val="44357747"/>
    <w:multiLevelType w:val="hybridMultilevel"/>
    <w:tmpl w:val="0DD2A83A"/>
    <w:lvl w:ilvl="0" w:tplc="37123A82">
      <w:start w:val="1"/>
      <w:numFmt w:val="lowerRoman"/>
      <w:lvlText w:val="(%1)"/>
      <w:lvlJc w:val="left"/>
      <w:pPr>
        <w:ind w:left="1275" w:hanging="91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447D2468"/>
    <w:multiLevelType w:val="hybridMultilevel"/>
    <w:tmpl w:val="149867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44B34B43"/>
    <w:multiLevelType w:val="hybridMultilevel"/>
    <w:tmpl w:val="642E919A"/>
    <w:lvl w:ilvl="0" w:tplc="C0DC5B8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457F69EF"/>
    <w:multiLevelType w:val="multilevel"/>
    <w:tmpl w:val="A7E82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471B1D93"/>
    <w:multiLevelType w:val="multilevel"/>
    <w:tmpl w:val="8AB00B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7856FBD"/>
    <w:multiLevelType w:val="hybridMultilevel"/>
    <w:tmpl w:val="9BA0E1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9B27D0B"/>
    <w:multiLevelType w:val="multilevel"/>
    <w:tmpl w:val="AE64A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A8D56DC"/>
    <w:multiLevelType w:val="hybridMultilevel"/>
    <w:tmpl w:val="EAFA0BEA"/>
    <w:lvl w:ilvl="0" w:tplc="563245B8">
      <w:start w:val="1"/>
      <w:numFmt w:val="lowerLetter"/>
      <w:lvlText w:val="(%1)"/>
      <w:lvlJc w:val="left"/>
      <w:pPr>
        <w:ind w:left="1080" w:hanging="360"/>
      </w:pPr>
      <w:rPr>
        <w:rFonts w:ascii="Georgia" w:eastAsiaTheme="minorHAnsi" w:hAnsi="Georgia"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4B460B83"/>
    <w:multiLevelType w:val="hybridMultilevel"/>
    <w:tmpl w:val="8D14CD7A"/>
    <w:lvl w:ilvl="0" w:tplc="2000000F">
      <w:start w:val="1"/>
      <w:numFmt w:val="decimal"/>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63" w15:restartNumberingAfterBreak="0">
    <w:nsid w:val="4C9705CA"/>
    <w:multiLevelType w:val="hybridMultilevel"/>
    <w:tmpl w:val="D636880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4DF445FC"/>
    <w:multiLevelType w:val="hybridMultilevel"/>
    <w:tmpl w:val="3C247982"/>
    <w:lvl w:ilvl="0" w:tplc="04090001">
      <w:start w:val="1"/>
      <w:numFmt w:val="bullet"/>
      <w:lvlText w:val=""/>
      <w:lvlJc w:val="left"/>
      <w:pPr>
        <w:ind w:left="950" w:hanging="360"/>
      </w:pPr>
      <w:rPr>
        <w:rFonts w:ascii="Symbol" w:hAnsi="Symbol" w:hint="default"/>
      </w:rPr>
    </w:lvl>
    <w:lvl w:ilvl="1" w:tplc="04090003" w:tentative="1">
      <w:start w:val="1"/>
      <w:numFmt w:val="bullet"/>
      <w:lvlText w:val="o"/>
      <w:lvlJc w:val="left"/>
      <w:pPr>
        <w:ind w:left="1670" w:hanging="360"/>
      </w:pPr>
      <w:rPr>
        <w:rFonts w:ascii="Courier New" w:hAnsi="Courier New" w:cs="Courier New" w:hint="default"/>
      </w:rPr>
    </w:lvl>
    <w:lvl w:ilvl="2" w:tplc="04090005" w:tentative="1">
      <w:start w:val="1"/>
      <w:numFmt w:val="bullet"/>
      <w:lvlText w:val=""/>
      <w:lvlJc w:val="left"/>
      <w:pPr>
        <w:ind w:left="2390" w:hanging="360"/>
      </w:pPr>
      <w:rPr>
        <w:rFonts w:ascii="Wingdings" w:hAnsi="Wingdings" w:hint="default"/>
      </w:rPr>
    </w:lvl>
    <w:lvl w:ilvl="3" w:tplc="04090001" w:tentative="1">
      <w:start w:val="1"/>
      <w:numFmt w:val="bullet"/>
      <w:lvlText w:val=""/>
      <w:lvlJc w:val="left"/>
      <w:pPr>
        <w:ind w:left="3110" w:hanging="360"/>
      </w:pPr>
      <w:rPr>
        <w:rFonts w:ascii="Symbol" w:hAnsi="Symbol" w:hint="default"/>
      </w:rPr>
    </w:lvl>
    <w:lvl w:ilvl="4" w:tplc="04090003" w:tentative="1">
      <w:start w:val="1"/>
      <w:numFmt w:val="bullet"/>
      <w:lvlText w:val="o"/>
      <w:lvlJc w:val="left"/>
      <w:pPr>
        <w:ind w:left="3830" w:hanging="360"/>
      </w:pPr>
      <w:rPr>
        <w:rFonts w:ascii="Courier New" w:hAnsi="Courier New" w:cs="Courier New" w:hint="default"/>
      </w:rPr>
    </w:lvl>
    <w:lvl w:ilvl="5" w:tplc="04090005" w:tentative="1">
      <w:start w:val="1"/>
      <w:numFmt w:val="bullet"/>
      <w:lvlText w:val=""/>
      <w:lvlJc w:val="left"/>
      <w:pPr>
        <w:ind w:left="4550" w:hanging="360"/>
      </w:pPr>
      <w:rPr>
        <w:rFonts w:ascii="Wingdings" w:hAnsi="Wingdings" w:hint="default"/>
      </w:rPr>
    </w:lvl>
    <w:lvl w:ilvl="6" w:tplc="04090001" w:tentative="1">
      <w:start w:val="1"/>
      <w:numFmt w:val="bullet"/>
      <w:lvlText w:val=""/>
      <w:lvlJc w:val="left"/>
      <w:pPr>
        <w:ind w:left="5270" w:hanging="360"/>
      </w:pPr>
      <w:rPr>
        <w:rFonts w:ascii="Symbol" w:hAnsi="Symbol" w:hint="default"/>
      </w:rPr>
    </w:lvl>
    <w:lvl w:ilvl="7" w:tplc="04090003" w:tentative="1">
      <w:start w:val="1"/>
      <w:numFmt w:val="bullet"/>
      <w:lvlText w:val="o"/>
      <w:lvlJc w:val="left"/>
      <w:pPr>
        <w:ind w:left="5990" w:hanging="360"/>
      </w:pPr>
      <w:rPr>
        <w:rFonts w:ascii="Courier New" w:hAnsi="Courier New" w:cs="Courier New" w:hint="default"/>
      </w:rPr>
    </w:lvl>
    <w:lvl w:ilvl="8" w:tplc="04090005" w:tentative="1">
      <w:start w:val="1"/>
      <w:numFmt w:val="bullet"/>
      <w:lvlText w:val=""/>
      <w:lvlJc w:val="left"/>
      <w:pPr>
        <w:ind w:left="6710" w:hanging="360"/>
      </w:pPr>
      <w:rPr>
        <w:rFonts w:ascii="Wingdings" w:hAnsi="Wingdings" w:hint="default"/>
      </w:rPr>
    </w:lvl>
  </w:abstractNum>
  <w:abstractNum w:abstractNumId="65" w15:restartNumberingAfterBreak="0">
    <w:nsid w:val="4EFF48E2"/>
    <w:multiLevelType w:val="multilevel"/>
    <w:tmpl w:val="A6B2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F8322C0"/>
    <w:multiLevelType w:val="hybridMultilevel"/>
    <w:tmpl w:val="601CA95E"/>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FF400FD"/>
    <w:multiLevelType w:val="multilevel"/>
    <w:tmpl w:val="10B0B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1667B7D"/>
    <w:multiLevelType w:val="hybridMultilevel"/>
    <w:tmpl w:val="054C9EDE"/>
    <w:lvl w:ilvl="0" w:tplc="0C9E5B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46C7440"/>
    <w:multiLevelType w:val="hybridMultilevel"/>
    <w:tmpl w:val="1C729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54936060"/>
    <w:multiLevelType w:val="multilevel"/>
    <w:tmpl w:val="15C8F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54B018C5"/>
    <w:multiLevelType w:val="hybridMultilevel"/>
    <w:tmpl w:val="D07CA740"/>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2" w15:restartNumberingAfterBreak="0">
    <w:nsid w:val="54BB57B9"/>
    <w:multiLevelType w:val="hybridMultilevel"/>
    <w:tmpl w:val="533CA0A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3" w15:restartNumberingAfterBreak="0">
    <w:nsid w:val="55712A86"/>
    <w:multiLevelType w:val="multilevel"/>
    <w:tmpl w:val="47C8277E"/>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hint="default"/>
        <w:sz w:val="20"/>
      </w:rPr>
    </w:lvl>
    <w:lvl w:ilvl="2">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4" w15:restartNumberingAfterBreak="0">
    <w:nsid w:val="558C2C4E"/>
    <w:multiLevelType w:val="hybridMultilevel"/>
    <w:tmpl w:val="E4229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56A42130"/>
    <w:multiLevelType w:val="hybridMultilevel"/>
    <w:tmpl w:val="A288D860"/>
    <w:lvl w:ilvl="0" w:tplc="A754BA5C">
      <w:start w:val="1"/>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7786563"/>
    <w:multiLevelType w:val="hybridMultilevel"/>
    <w:tmpl w:val="07E63DF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7" w15:restartNumberingAfterBreak="0">
    <w:nsid w:val="578E35C2"/>
    <w:multiLevelType w:val="hybridMultilevel"/>
    <w:tmpl w:val="479235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8" w15:restartNumberingAfterBreak="0">
    <w:nsid w:val="582429F0"/>
    <w:multiLevelType w:val="hybridMultilevel"/>
    <w:tmpl w:val="7ACA1CDE"/>
    <w:lvl w:ilvl="0" w:tplc="04090001">
      <w:start w:val="1"/>
      <w:numFmt w:val="bullet"/>
      <w:lvlText w:val=""/>
      <w:lvlJc w:val="left"/>
      <w:pPr>
        <w:ind w:left="1440" w:hanging="360"/>
      </w:pPr>
      <w:rPr>
        <w:rFonts w:ascii="Symbol" w:hAnsi="Symbol" w:hint="default"/>
      </w:rPr>
    </w:lvl>
    <w:lvl w:ilvl="1" w:tplc="20000003" w:tentative="1">
      <w:start w:val="1"/>
      <w:numFmt w:val="bullet"/>
      <w:lvlText w:val="o"/>
      <w:lvlJc w:val="left"/>
      <w:pPr>
        <w:ind w:left="2160" w:hanging="360"/>
      </w:pPr>
      <w:rPr>
        <w:rFonts w:ascii="Courier New" w:hAnsi="Courier New" w:cs="Courier New" w:hint="default"/>
      </w:rPr>
    </w:lvl>
    <w:lvl w:ilvl="2" w:tplc="20000005" w:tentative="1">
      <w:start w:val="1"/>
      <w:numFmt w:val="bullet"/>
      <w:lvlText w:val=""/>
      <w:lvlJc w:val="left"/>
      <w:pPr>
        <w:ind w:left="2880" w:hanging="360"/>
      </w:pPr>
      <w:rPr>
        <w:rFonts w:ascii="Wingdings" w:hAnsi="Wingdings" w:hint="default"/>
      </w:rPr>
    </w:lvl>
    <w:lvl w:ilvl="3" w:tplc="20000001" w:tentative="1">
      <w:start w:val="1"/>
      <w:numFmt w:val="bullet"/>
      <w:lvlText w:val=""/>
      <w:lvlJc w:val="left"/>
      <w:pPr>
        <w:ind w:left="3600" w:hanging="360"/>
      </w:pPr>
      <w:rPr>
        <w:rFonts w:ascii="Symbol" w:hAnsi="Symbol" w:hint="default"/>
      </w:rPr>
    </w:lvl>
    <w:lvl w:ilvl="4" w:tplc="20000003" w:tentative="1">
      <w:start w:val="1"/>
      <w:numFmt w:val="bullet"/>
      <w:lvlText w:val="o"/>
      <w:lvlJc w:val="left"/>
      <w:pPr>
        <w:ind w:left="4320" w:hanging="360"/>
      </w:pPr>
      <w:rPr>
        <w:rFonts w:ascii="Courier New" w:hAnsi="Courier New" w:cs="Courier New" w:hint="default"/>
      </w:rPr>
    </w:lvl>
    <w:lvl w:ilvl="5" w:tplc="20000005" w:tentative="1">
      <w:start w:val="1"/>
      <w:numFmt w:val="bullet"/>
      <w:lvlText w:val=""/>
      <w:lvlJc w:val="left"/>
      <w:pPr>
        <w:ind w:left="5040" w:hanging="360"/>
      </w:pPr>
      <w:rPr>
        <w:rFonts w:ascii="Wingdings" w:hAnsi="Wingdings" w:hint="default"/>
      </w:rPr>
    </w:lvl>
    <w:lvl w:ilvl="6" w:tplc="20000001" w:tentative="1">
      <w:start w:val="1"/>
      <w:numFmt w:val="bullet"/>
      <w:lvlText w:val=""/>
      <w:lvlJc w:val="left"/>
      <w:pPr>
        <w:ind w:left="5760" w:hanging="360"/>
      </w:pPr>
      <w:rPr>
        <w:rFonts w:ascii="Symbol" w:hAnsi="Symbol" w:hint="default"/>
      </w:rPr>
    </w:lvl>
    <w:lvl w:ilvl="7" w:tplc="20000003" w:tentative="1">
      <w:start w:val="1"/>
      <w:numFmt w:val="bullet"/>
      <w:lvlText w:val="o"/>
      <w:lvlJc w:val="left"/>
      <w:pPr>
        <w:ind w:left="6480" w:hanging="360"/>
      </w:pPr>
      <w:rPr>
        <w:rFonts w:ascii="Courier New" w:hAnsi="Courier New" w:cs="Courier New" w:hint="default"/>
      </w:rPr>
    </w:lvl>
    <w:lvl w:ilvl="8" w:tplc="20000005" w:tentative="1">
      <w:start w:val="1"/>
      <w:numFmt w:val="bullet"/>
      <w:lvlText w:val=""/>
      <w:lvlJc w:val="left"/>
      <w:pPr>
        <w:ind w:left="7200" w:hanging="360"/>
      </w:pPr>
      <w:rPr>
        <w:rFonts w:ascii="Wingdings" w:hAnsi="Wingdings" w:hint="default"/>
      </w:rPr>
    </w:lvl>
  </w:abstractNum>
  <w:abstractNum w:abstractNumId="79" w15:restartNumberingAfterBreak="0">
    <w:nsid w:val="59611C66"/>
    <w:multiLevelType w:val="hybridMultilevel"/>
    <w:tmpl w:val="264C897C"/>
    <w:lvl w:ilvl="0" w:tplc="CFCEB6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B5B6D6B"/>
    <w:multiLevelType w:val="multilevel"/>
    <w:tmpl w:val="04CEC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CA03944"/>
    <w:multiLevelType w:val="hybridMultilevel"/>
    <w:tmpl w:val="E7CC3514"/>
    <w:lvl w:ilvl="0" w:tplc="E932CB1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15:restartNumberingAfterBreak="0">
    <w:nsid w:val="5D986684"/>
    <w:multiLevelType w:val="multilevel"/>
    <w:tmpl w:val="5E3202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5E3C60AD"/>
    <w:multiLevelType w:val="multilevel"/>
    <w:tmpl w:val="565EC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290004C"/>
    <w:multiLevelType w:val="hybridMultilevel"/>
    <w:tmpl w:val="6A584018"/>
    <w:lvl w:ilvl="0" w:tplc="B60EED9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35500F2"/>
    <w:multiLevelType w:val="multilevel"/>
    <w:tmpl w:val="098EF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6589074A"/>
    <w:multiLevelType w:val="hybridMultilevel"/>
    <w:tmpl w:val="7C5C3548"/>
    <w:lvl w:ilvl="0" w:tplc="0409000F">
      <w:start w:val="1"/>
      <w:numFmt w:val="decimal"/>
      <w:lvlText w:val="%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6B04A9B"/>
    <w:multiLevelType w:val="hybridMultilevel"/>
    <w:tmpl w:val="17C2E1C4"/>
    <w:lvl w:ilvl="0" w:tplc="7FD6B4E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8" w15:restartNumberingAfterBreak="0">
    <w:nsid w:val="67E34A31"/>
    <w:multiLevelType w:val="multilevel"/>
    <w:tmpl w:val="04848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8DA3DC3"/>
    <w:multiLevelType w:val="hybridMultilevel"/>
    <w:tmpl w:val="77B6DDD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69E831F2"/>
    <w:multiLevelType w:val="multilevel"/>
    <w:tmpl w:val="81FE7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C3A360A"/>
    <w:multiLevelType w:val="hybridMultilevel"/>
    <w:tmpl w:val="DB92FE48"/>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6CD046F2"/>
    <w:multiLevelType w:val="hybridMultilevel"/>
    <w:tmpl w:val="9008F480"/>
    <w:lvl w:ilvl="0" w:tplc="0C9E5B5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D262168"/>
    <w:multiLevelType w:val="hybridMultilevel"/>
    <w:tmpl w:val="2FECF84A"/>
    <w:lvl w:ilvl="0" w:tplc="2000001B">
      <w:start w:val="1"/>
      <w:numFmt w:val="lowerRoman"/>
      <w:lvlText w:val="%1."/>
      <w:lvlJc w:val="righ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4" w15:restartNumberingAfterBreak="0">
    <w:nsid w:val="6E2A03AF"/>
    <w:multiLevelType w:val="hybridMultilevel"/>
    <w:tmpl w:val="B7C8F9F6"/>
    <w:lvl w:ilvl="0" w:tplc="4438AB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6E32481C"/>
    <w:multiLevelType w:val="hybridMultilevel"/>
    <w:tmpl w:val="741015A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7377732C"/>
    <w:multiLevelType w:val="multilevel"/>
    <w:tmpl w:val="67B2A8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3E7456C"/>
    <w:multiLevelType w:val="hybridMultilevel"/>
    <w:tmpl w:val="A26236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3E90079"/>
    <w:multiLevelType w:val="multilevel"/>
    <w:tmpl w:val="94703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4F4040C"/>
    <w:multiLevelType w:val="multilevel"/>
    <w:tmpl w:val="CB900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57255B2"/>
    <w:multiLevelType w:val="multilevel"/>
    <w:tmpl w:val="9626C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767702EC"/>
    <w:multiLevelType w:val="hybridMultilevel"/>
    <w:tmpl w:val="A57886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77990DC3"/>
    <w:multiLevelType w:val="hybridMultilevel"/>
    <w:tmpl w:val="55984264"/>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03" w15:restartNumberingAfterBreak="0">
    <w:nsid w:val="78A76DAB"/>
    <w:multiLevelType w:val="multilevel"/>
    <w:tmpl w:val="036808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9C83731"/>
    <w:multiLevelType w:val="multilevel"/>
    <w:tmpl w:val="1168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AAA2BA8"/>
    <w:multiLevelType w:val="multilevel"/>
    <w:tmpl w:val="2E4A2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7C2D20FC"/>
    <w:multiLevelType w:val="multilevel"/>
    <w:tmpl w:val="57B66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7C385238"/>
    <w:multiLevelType w:val="multilevel"/>
    <w:tmpl w:val="CEA425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C673EA8"/>
    <w:multiLevelType w:val="multilevel"/>
    <w:tmpl w:val="DF488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7C6A4BEF"/>
    <w:multiLevelType w:val="hybridMultilevel"/>
    <w:tmpl w:val="AC363F82"/>
    <w:lvl w:ilvl="0" w:tplc="BD8AFA1E">
      <w:numFmt w:val="bullet"/>
      <w:lvlText w:val="-"/>
      <w:lvlJc w:val="left"/>
      <w:pPr>
        <w:ind w:left="360" w:hanging="360"/>
      </w:pPr>
      <w:rPr>
        <w:rFonts w:ascii="Yu Gothic" w:eastAsia="Yu Gothic" w:hAnsi="Yu Gothic" w:cs="Times New Roman" w:hint="eastAsia"/>
      </w:rPr>
    </w:lvl>
    <w:lvl w:ilvl="1" w:tplc="04090003" w:tentative="1">
      <w:start w:val="1"/>
      <w:numFmt w:val="bullet"/>
      <w:lvlText w:val="o"/>
      <w:lvlJc w:val="left"/>
      <w:pPr>
        <w:ind w:left="1220" w:hanging="360"/>
      </w:pPr>
      <w:rPr>
        <w:rFonts w:ascii="Courier New" w:hAnsi="Courier New" w:cs="Courier New" w:hint="default"/>
      </w:rPr>
    </w:lvl>
    <w:lvl w:ilvl="2" w:tplc="04090005" w:tentative="1">
      <w:start w:val="1"/>
      <w:numFmt w:val="bullet"/>
      <w:lvlText w:val=""/>
      <w:lvlJc w:val="left"/>
      <w:pPr>
        <w:ind w:left="1940" w:hanging="360"/>
      </w:pPr>
      <w:rPr>
        <w:rFonts w:ascii="Wingdings" w:hAnsi="Wingdings" w:hint="default"/>
      </w:rPr>
    </w:lvl>
    <w:lvl w:ilvl="3" w:tplc="04090001" w:tentative="1">
      <w:start w:val="1"/>
      <w:numFmt w:val="bullet"/>
      <w:lvlText w:val=""/>
      <w:lvlJc w:val="left"/>
      <w:pPr>
        <w:ind w:left="2660" w:hanging="360"/>
      </w:pPr>
      <w:rPr>
        <w:rFonts w:ascii="Symbol" w:hAnsi="Symbol" w:hint="default"/>
      </w:rPr>
    </w:lvl>
    <w:lvl w:ilvl="4" w:tplc="04090003" w:tentative="1">
      <w:start w:val="1"/>
      <w:numFmt w:val="bullet"/>
      <w:lvlText w:val="o"/>
      <w:lvlJc w:val="left"/>
      <w:pPr>
        <w:ind w:left="3380" w:hanging="360"/>
      </w:pPr>
      <w:rPr>
        <w:rFonts w:ascii="Courier New" w:hAnsi="Courier New" w:cs="Courier New" w:hint="default"/>
      </w:rPr>
    </w:lvl>
    <w:lvl w:ilvl="5" w:tplc="04090005" w:tentative="1">
      <w:start w:val="1"/>
      <w:numFmt w:val="bullet"/>
      <w:lvlText w:val=""/>
      <w:lvlJc w:val="left"/>
      <w:pPr>
        <w:ind w:left="4100" w:hanging="360"/>
      </w:pPr>
      <w:rPr>
        <w:rFonts w:ascii="Wingdings" w:hAnsi="Wingdings" w:hint="default"/>
      </w:rPr>
    </w:lvl>
    <w:lvl w:ilvl="6" w:tplc="04090001" w:tentative="1">
      <w:start w:val="1"/>
      <w:numFmt w:val="bullet"/>
      <w:lvlText w:val=""/>
      <w:lvlJc w:val="left"/>
      <w:pPr>
        <w:ind w:left="4820" w:hanging="360"/>
      </w:pPr>
      <w:rPr>
        <w:rFonts w:ascii="Symbol" w:hAnsi="Symbol" w:hint="default"/>
      </w:rPr>
    </w:lvl>
    <w:lvl w:ilvl="7" w:tplc="04090003" w:tentative="1">
      <w:start w:val="1"/>
      <w:numFmt w:val="bullet"/>
      <w:lvlText w:val="o"/>
      <w:lvlJc w:val="left"/>
      <w:pPr>
        <w:ind w:left="5540" w:hanging="360"/>
      </w:pPr>
      <w:rPr>
        <w:rFonts w:ascii="Courier New" w:hAnsi="Courier New" w:cs="Courier New" w:hint="default"/>
      </w:rPr>
    </w:lvl>
    <w:lvl w:ilvl="8" w:tplc="04090005" w:tentative="1">
      <w:start w:val="1"/>
      <w:numFmt w:val="bullet"/>
      <w:lvlText w:val=""/>
      <w:lvlJc w:val="left"/>
      <w:pPr>
        <w:ind w:left="6260" w:hanging="360"/>
      </w:pPr>
      <w:rPr>
        <w:rFonts w:ascii="Wingdings" w:hAnsi="Wingdings" w:hint="default"/>
      </w:rPr>
    </w:lvl>
  </w:abstractNum>
  <w:abstractNum w:abstractNumId="110" w15:restartNumberingAfterBreak="0">
    <w:nsid w:val="7E671986"/>
    <w:multiLevelType w:val="hybridMultilevel"/>
    <w:tmpl w:val="AC8E33E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1" w15:restartNumberingAfterBreak="0">
    <w:nsid w:val="7FD318C0"/>
    <w:multiLevelType w:val="hybridMultilevel"/>
    <w:tmpl w:val="3BF0C862"/>
    <w:lvl w:ilvl="0" w:tplc="C91A9ED2">
      <w:start w:val="9"/>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789273263">
    <w:abstractNumId w:val="29"/>
  </w:num>
  <w:num w:numId="2" w16cid:durableId="1089961103">
    <w:abstractNumId w:val="36"/>
  </w:num>
  <w:num w:numId="3" w16cid:durableId="601718414">
    <w:abstractNumId w:val="59"/>
  </w:num>
  <w:num w:numId="4" w16cid:durableId="1254972006">
    <w:abstractNumId w:val="54"/>
  </w:num>
  <w:num w:numId="5" w16cid:durableId="1042822585">
    <w:abstractNumId w:val="7"/>
  </w:num>
  <w:num w:numId="6" w16cid:durableId="160586060">
    <w:abstractNumId w:val="53"/>
  </w:num>
  <w:num w:numId="7" w16cid:durableId="1909880052">
    <w:abstractNumId w:val="3"/>
  </w:num>
  <w:num w:numId="8" w16cid:durableId="362873316">
    <w:abstractNumId w:val="74"/>
  </w:num>
  <w:num w:numId="9" w16cid:durableId="1464690571">
    <w:abstractNumId w:val="22"/>
  </w:num>
  <w:num w:numId="10" w16cid:durableId="1908608661">
    <w:abstractNumId w:val="72"/>
  </w:num>
  <w:num w:numId="11" w16cid:durableId="1973289193">
    <w:abstractNumId w:val="14"/>
  </w:num>
  <w:num w:numId="12" w16cid:durableId="849834753">
    <w:abstractNumId w:val="19"/>
  </w:num>
  <w:num w:numId="13" w16cid:durableId="563877015">
    <w:abstractNumId w:val="16"/>
  </w:num>
  <w:num w:numId="14" w16cid:durableId="1023675884">
    <w:abstractNumId w:val="41"/>
  </w:num>
  <w:num w:numId="15" w16cid:durableId="297229131">
    <w:abstractNumId w:val="69"/>
  </w:num>
  <w:num w:numId="16" w16cid:durableId="1091466655">
    <w:abstractNumId w:val="61"/>
  </w:num>
  <w:num w:numId="17" w16cid:durableId="581108536">
    <w:abstractNumId w:val="9"/>
  </w:num>
  <w:num w:numId="18" w16cid:durableId="1192380206">
    <w:abstractNumId w:val="81"/>
  </w:num>
  <w:num w:numId="19" w16cid:durableId="1315454821">
    <w:abstractNumId w:val="102"/>
  </w:num>
  <w:num w:numId="20" w16cid:durableId="2073384712">
    <w:abstractNumId w:val="63"/>
  </w:num>
  <w:num w:numId="21" w16cid:durableId="417874165">
    <w:abstractNumId w:val="91"/>
  </w:num>
  <w:num w:numId="22" w16cid:durableId="176268315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85502721">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6550008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2392761">
    <w:abstractNumId w:val="23"/>
  </w:num>
  <w:num w:numId="26" w16cid:durableId="1033385715">
    <w:abstractNumId w:val="82"/>
  </w:num>
  <w:num w:numId="27" w16cid:durableId="421223675">
    <w:abstractNumId w:val="8"/>
  </w:num>
  <w:num w:numId="28" w16cid:durableId="2124761650">
    <w:abstractNumId w:val="15"/>
  </w:num>
  <w:num w:numId="29" w16cid:durableId="2053454">
    <w:abstractNumId w:val="18"/>
  </w:num>
  <w:num w:numId="30" w16cid:durableId="1436250378">
    <w:abstractNumId w:val="28"/>
  </w:num>
  <w:num w:numId="31" w16cid:durableId="2007397646">
    <w:abstractNumId w:val="75"/>
  </w:num>
  <w:num w:numId="32" w16cid:durableId="903680466">
    <w:abstractNumId w:val="79"/>
  </w:num>
  <w:num w:numId="33" w16cid:durableId="1190143850">
    <w:abstractNumId w:val="84"/>
  </w:num>
  <w:num w:numId="34" w16cid:durableId="1814985827">
    <w:abstractNumId w:val="89"/>
  </w:num>
  <w:num w:numId="35" w16cid:durableId="162823428">
    <w:abstractNumId w:val="55"/>
  </w:num>
  <w:num w:numId="36" w16cid:durableId="1154374427">
    <w:abstractNumId w:val="24"/>
  </w:num>
  <w:num w:numId="37" w16cid:durableId="606500080">
    <w:abstractNumId w:val="95"/>
  </w:num>
  <w:num w:numId="38" w16cid:durableId="905607140">
    <w:abstractNumId w:val="66"/>
  </w:num>
  <w:num w:numId="39" w16cid:durableId="1018963720">
    <w:abstractNumId w:val="78"/>
  </w:num>
  <w:num w:numId="40" w16cid:durableId="870726809">
    <w:abstractNumId w:val="45"/>
  </w:num>
  <w:num w:numId="41" w16cid:durableId="475609008">
    <w:abstractNumId w:val="32"/>
  </w:num>
  <w:num w:numId="42" w16cid:durableId="1156723511">
    <w:abstractNumId w:val="33"/>
  </w:num>
  <w:num w:numId="43" w16cid:durableId="495149548">
    <w:abstractNumId w:val="35"/>
  </w:num>
  <w:num w:numId="44" w16cid:durableId="195700994">
    <w:abstractNumId w:val="64"/>
  </w:num>
  <w:num w:numId="45" w16cid:durableId="2081361232">
    <w:abstractNumId w:val="37"/>
  </w:num>
  <w:num w:numId="46" w16cid:durableId="207650612">
    <w:abstractNumId w:val="86"/>
  </w:num>
  <w:num w:numId="47" w16cid:durableId="2135363515">
    <w:abstractNumId w:val="94"/>
  </w:num>
  <w:num w:numId="48" w16cid:durableId="2140609735">
    <w:abstractNumId w:val="42"/>
  </w:num>
  <w:num w:numId="49" w16cid:durableId="834077857">
    <w:abstractNumId w:val="97"/>
  </w:num>
  <w:num w:numId="50" w16cid:durableId="1081174832">
    <w:abstractNumId w:val="0"/>
  </w:num>
  <w:num w:numId="51" w16cid:durableId="172379517">
    <w:abstractNumId w:val="31"/>
  </w:num>
  <w:num w:numId="52" w16cid:durableId="1443647942">
    <w:abstractNumId w:val="38"/>
  </w:num>
  <w:num w:numId="53" w16cid:durableId="762577899">
    <w:abstractNumId w:val="52"/>
  </w:num>
  <w:num w:numId="54" w16cid:durableId="2006856746">
    <w:abstractNumId w:val="100"/>
  </w:num>
  <w:num w:numId="55" w16cid:durableId="502206761">
    <w:abstractNumId w:val="85"/>
  </w:num>
  <w:num w:numId="56" w16cid:durableId="299923006">
    <w:abstractNumId w:val="20"/>
  </w:num>
  <w:num w:numId="57" w16cid:durableId="1472214722">
    <w:abstractNumId w:val="44"/>
  </w:num>
  <w:num w:numId="58" w16cid:durableId="1909684186">
    <w:abstractNumId w:val="48"/>
  </w:num>
  <w:num w:numId="59" w16cid:durableId="435255972">
    <w:abstractNumId w:val="70"/>
  </w:num>
  <w:num w:numId="60" w16cid:durableId="400951391">
    <w:abstractNumId w:val="6"/>
  </w:num>
  <w:num w:numId="61" w16cid:durableId="813910187">
    <w:abstractNumId w:val="105"/>
  </w:num>
  <w:num w:numId="62" w16cid:durableId="437258781">
    <w:abstractNumId w:val="43"/>
  </w:num>
  <w:num w:numId="63" w16cid:durableId="1953899274">
    <w:abstractNumId w:val="98"/>
  </w:num>
  <w:num w:numId="64" w16cid:durableId="468326289">
    <w:abstractNumId w:val="49"/>
  </w:num>
  <w:num w:numId="65" w16cid:durableId="1732540180">
    <w:abstractNumId w:val="67"/>
  </w:num>
  <w:num w:numId="66" w16cid:durableId="1003321087">
    <w:abstractNumId w:val="93"/>
  </w:num>
  <w:num w:numId="67" w16cid:durableId="829717126">
    <w:abstractNumId w:val="108"/>
  </w:num>
  <w:num w:numId="68" w16cid:durableId="1247154558">
    <w:abstractNumId w:val="60"/>
  </w:num>
  <w:num w:numId="69" w16cid:durableId="793527280">
    <w:abstractNumId w:val="1"/>
  </w:num>
  <w:num w:numId="70" w16cid:durableId="668950152">
    <w:abstractNumId w:val="5"/>
  </w:num>
  <w:num w:numId="71" w16cid:durableId="2022734200">
    <w:abstractNumId w:val="80"/>
  </w:num>
  <w:num w:numId="72" w16cid:durableId="1891183000">
    <w:abstractNumId w:val="51"/>
  </w:num>
  <w:num w:numId="73" w16cid:durableId="418795923">
    <w:abstractNumId w:val="96"/>
  </w:num>
  <w:num w:numId="74" w16cid:durableId="98140046">
    <w:abstractNumId w:val="34"/>
  </w:num>
  <w:num w:numId="75" w16cid:durableId="971717633">
    <w:abstractNumId w:val="57"/>
  </w:num>
  <w:num w:numId="76" w16cid:durableId="1788429414">
    <w:abstractNumId w:val="39"/>
  </w:num>
  <w:num w:numId="77" w16cid:durableId="41682671">
    <w:abstractNumId w:val="90"/>
  </w:num>
  <w:num w:numId="78" w16cid:durableId="328144270">
    <w:abstractNumId w:val="25"/>
  </w:num>
  <w:num w:numId="79" w16cid:durableId="249630953">
    <w:abstractNumId w:val="26"/>
  </w:num>
  <w:num w:numId="80" w16cid:durableId="703287913">
    <w:abstractNumId w:val="2"/>
  </w:num>
  <w:num w:numId="81" w16cid:durableId="246353907">
    <w:abstractNumId w:val="58"/>
  </w:num>
  <w:num w:numId="82" w16cid:durableId="642464491">
    <w:abstractNumId w:val="47"/>
  </w:num>
  <w:num w:numId="83" w16cid:durableId="1732339828">
    <w:abstractNumId w:val="11"/>
  </w:num>
  <w:num w:numId="84" w16cid:durableId="1408258676">
    <w:abstractNumId w:val="107"/>
  </w:num>
  <w:num w:numId="85" w16cid:durableId="14162771">
    <w:abstractNumId w:val="104"/>
  </w:num>
  <w:num w:numId="86" w16cid:durableId="523833253">
    <w:abstractNumId w:val="103"/>
  </w:num>
  <w:num w:numId="87" w16cid:durableId="791479635">
    <w:abstractNumId w:val="88"/>
  </w:num>
  <w:num w:numId="88" w16cid:durableId="897014238">
    <w:abstractNumId w:val="71"/>
  </w:num>
  <w:num w:numId="89" w16cid:durableId="1299068269">
    <w:abstractNumId w:val="56"/>
  </w:num>
  <w:num w:numId="90" w16cid:durableId="1987280076">
    <w:abstractNumId w:val="87"/>
  </w:num>
  <w:num w:numId="91" w16cid:durableId="253977334">
    <w:abstractNumId w:val="12"/>
  </w:num>
  <w:num w:numId="92" w16cid:durableId="498739348">
    <w:abstractNumId w:val="101"/>
  </w:num>
  <w:num w:numId="93" w16cid:durableId="356662488">
    <w:abstractNumId w:val="68"/>
  </w:num>
  <w:num w:numId="94" w16cid:durableId="227033941">
    <w:abstractNumId w:val="46"/>
  </w:num>
  <w:num w:numId="95" w16cid:durableId="766970918">
    <w:abstractNumId w:val="10"/>
  </w:num>
  <w:num w:numId="96" w16cid:durableId="1853715819">
    <w:abstractNumId w:val="109"/>
  </w:num>
  <w:num w:numId="97" w16cid:durableId="1579289877">
    <w:abstractNumId w:val="77"/>
  </w:num>
  <w:num w:numId="98" w16cid:durableId="1953242463">
    <w:abstractNumId w:val="92"/>
  </w:num>
  <w:num w:numId="99" w16cid:durableId="1594776431">
    <w:abstractNumId w:val="17"/>
  </w:num>
  <w:num w:numId="100" w16cid:durableId="836454971">
    <w:abstractNumId w:val="111"/>
  </w:num>
  <w:num w:numId="101" w16cid:durableId="1752464097">
    <w:abstractNumId w:val="21"/>
  </w:num>
  <w:num w:numId="102" w16cid:durableId="2087066860">
    <w:abstractNumId w:val="110"/>
  </w:num>
  <w:num w:numId="103" w16cid:durableId="1006250022">
    <w:abstractNumId w:val="13"/>
  </w:num>
  <w:num w:numId="104" w16cid:durableId="176120827">
    <w:abstractNumId w:val="65"/>
  </w:num>
  <w:num w:numId="105" w16cid:durableId="1923298543">
    <w:abstractNumId w:val="27"/>
  </w:num>
  <w:num w:numId="106" w16cid:durableId="691760135">
    <w:abstractNumId w:val="73"/>
  </w:num>
  <w:num w:numId="107" w16cid:durableId="1466466110">
    <w:abstractNumId w:val="83"/>
  </w:num>
  <w:num w:numId="108" w16cid:durableId="1539322144">
    <w:abstractNumId w:val="62"/>
  </w:num>
  <w:num w:numId="109" w16cid:durableId="603152390">
    <w:abstractNumId w:val="4"/>
  </w:num>
  <w:num w:numId="110" w16cid:durableId="1657683283">
    <w:abstractNumId w:val="76"/>
  </w:num>
  <w:num w:numId="111" w16cid:durableId="1942255334">
    <w:abstractNumId w:val="99"/>
  </w:num>
  <w:num w:numId="112" w16cid:durableId="1260724460">
    <w:abstractNumId w:val="10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AB8"/>
    <w:rsid w:val="00000F4B"/>
    <w:rsid w:val="00002A2A"/>
    <w:rsid w:val="000126B6"/>
    <w:rsid w:val="000134B0"/>
    <w:rsid w:val="0001543D"/>
    <w:rsid w:val="000157EE"/>
    <w:rsid w:val="00016429"/>
    <w:rsid w:val="00016766"/>
    <w:rsid w:val="000170E9"/>
    <w:rsid w:val="0001750A"/>
    <w:rsid w:val="00030B4E"/>
    <w:rsid w:val="00031230"/>
    <w:rsid w:val="000329B0"/>
    <w:rsid w:val="000345A6"/>
    <w:rsid w:val="00035093"/>
    <w:rsid w:val="00036D14"/>
    <w:rsid w:val="000417A7"/>
    <w:rsid w:val="000467F1"/>
    <w:rsid w:val="00047431"/>
    <w:rsid w:val="00047839"/>
    <w:rsid w:val="000507D3"/>
    <w:rsid w:val="00051DA7"/>
    <w:rsid w:val="00055DA5"/>
    <w:rsid w:val="0005605E"/>
    <w:rsid w:val="0006023B"/>
    <w:rsid w:val="00062411"/>
    <w:rsid w:val="0006469B"/>
    <w:rsid w:val="000648B4"/>
    <w:rsid w:val="00065075"/>
    <w:rsid w:val="0007019C"/>
    <w:rsid w:val="000720E3"/>
    <w:rsid w:val="00074068"/>
    <w:rsid w:val="0007484D"/>
    <w:rsid w:val="00075251"/>
    <w:rsid w:val="00076896"/>
    <w:rsid w:val="000809DC"/>
    <w:rsid w:val="00080C6A"/>
    <w:rsid w:val="0008178E"/>
    <w:rsid w:val="0008211D"/>
    <w:rsid w:val="0008238A"/>
    <w:rsid w:val="000901A1"/>
    <w:rsid w:val="00093692"/>
    <w:rsid w:val="00095218"/>
    <w:rsid w:val="00096E51"/>
    <w:rsid w:val="000A08DA"/>
    <w:rsid w:val="000A33D1"/>
    <w:rsid w:val="000A4A4B"/>
    <w:rsid w:val="000A4E1E"/>
    <w:rsid w:val="000A559D"/>
    <w:rsid w:val="000A7DE7"/>
    <w:rsid w:val="000B216D"/>
    <w:rsid w:val="000B344D"/>
    <w:rsid w:val="000C0534"/>
    <w:rsid w:val="000C144F"/>
    <w:rsid w:val="000C2E3F"/>
    <w:rsid w:val="000C37E2"/>
    <w:rsid w:val="000C4504"/>
    <w:rsid w:val="000C7AF4"/>
    <w:rsid w:val="000D40C4"/>
    <w:rsid w:val="000D42E1"/>
    <w:rsid w:val="000D5030"/>
    <w:rsid w:val="000D7A87"/>
    <w:rsid w:val="000E08AD"/>
    <w:rsid w:val="000E601D"/>
    <w:rsid w:val="000F6E14"/>
    <w:rsid w:val="00100492"/>
    <w:rsid w:val="001022E9"/>
    <w:rsid w:val="001059FA"/>
    <w:rsid w:val="0011386D"/>
    <w:rsid w:val="00121885"/>
    <w:rsid w:val="00123F42"/>
    <w:rsid w:val="00125530"/>
    <w:rsid w:val="00125FC4"/>
    <w:rsid w:val="001317EE"/>
    <w:rsid w:val="00132F67"/>
    <w:rsid w:val="001414F5"/>
    <w:rsid w:val="00145D20"/>
    <w:rsid w:val="001470C7"/>
    <w:rsid w:val="0015498F"/>
    <w:rsid w:val="00154B14"/>
    <w:rsid w:val="0015734A"/>
    <w:rsid w:val="00160CE6"/>
    <w:rsid w:val="00164677"/>
    <w:rsid w:val="0016736F"/>
    <w:rsid w:val="00170466"/>
    <w:rsid w:val="00172827"/>
    <w:rsid w:val="00181C89"/>
    <w:rsid w:val="001832B1"/>
    <w:rsid w:val="00183F77"/>
    <w:rsid w:val="001936F1"/>
    <w:rsid w:val="00193BFF"/>
    <w:rsid w:val="001A019A"/>
    <w:rsid w:val="001A1AEF"/>
    <w:rsid w:val="001A25E9"/>
    <w:rsid w:val="001A31C1"/>
    <w:rsid w:val="001A4432"/>
    <w:rsid w:val="001A4D96"/>
    <w:rsid w:val="001A52CD"/>
    <w:rsid w:val="001A74D1"/>
    <w:rsid w:val="001A7682"/>
    <w:rsid w:val="001A7E91"/>
    <w:rsid w:val="001B02A8"/>
    <w:rsid w:val="001B2F93"/>
    <w:rsid w:val="001B44E9"/>
    <w:rsid w:val="001B6788"/>
    <w:rsid w:val="001C548A"/>
    <w:rsid w:val="001D210A"/>
    <w:rsid w:val="001D2FE4"/>
    <w:rsid w:val="001E0C7D"/>
    <w:rsid w:val="001E1415"/>
    <w:rsid w:val="001E45D9"/>
    <w:rsid w:val="001E5A86"/>
    <w:rsid w:val="001E75E5"/>
    <w:rsid w:val="001F202D"/>
    <w:rsid w:val="001F336C"/>
    <w:rsid w:val="001F358D"/>
    <w:rsid w:val="001F4577"/>
    <w:rsid w:val="001F5070"/>
    <w:rsid w:val="001F6535"/>
    <w:rsid w:val="001F67F9"/>
    <w:rsid w:val="001F6F74"/>
    <w:rsid w:val="001F7F6F"/>
    <w:rsid w:val="0020193C"/>
    <w:rsid w:val="00201CF8"/>
    <w:rsid w:val="00201EBC"/>
    <w:rsid w:val="00201EFC"/>
    <w:rsid w:val="00204707"/>
    <w:rsid w:val="00206E3E"/>
    <w:rsid w:val="00211CBC"/>
    <w:rsid w:val="00212D2A"/>
    <w:rsid w:val="00212E4A"/>
    <w:rsid w:val="0021327D"/>
    <w:rsid w:val="00214590"/>
    <w:rsid w:val="0022696F"/>
    <w:rsid w:val="00226DDB"/>
    <w:rsid w:val="00231CA9"/>
    <w:rsid w:val="0023393F"/>
    <w:rsid w:val="00233E53"/>
    <w:rsid w:val="00233F03"/>
    <w:rsid w:val="0023448D"/>
    <w:rsid w:val="002361F8"/>
    <w:rsid w:val="00240E06"/>
    <w:rsid w:val="00241463"/>
    <w:rsid w:val="00242EBE"/>
    <w:rsid w:val="00250870"/>
    <w:rsid w:val="0025104C"/>
    <w:rsid w:val="002535DA"/>
    <w:rsid w:val="00261F93"/>
    <w:rsid w:val="00265FA8"/>
    <w:rsid w:val="002666D4"/>
    <w:rsid w:val="00272A33"/>
    <w:rsid w:val="00273603"/>
    <w:rsid w:val="00276D90"/>
    <w:rsid w:val="00277163"/>
    <w:rsid w:val="00277B44"/>
    <w:rsid w:val="00280585"/>
    <w:rsid w:val="00281699"/>
    <w:rsid w:val="002833C6"/>
    <w:rsid w:val="00287259"/>
    <w:rsid w:val="0028725F"/>
    <w:rsid w:val="00291CBB"/>
    <w:rsid w:val="002965D3"/>
    <w:rsid w:val="002A2AD5"/>
    <w:rsid w:val="002B05F0"/>
    <w:rsid w:val="002B0DE1"/>
    <w:rsid w:val="002B1531"/>
    <w:rsid w:val="002B2E21"/>
    <w:rsid w:val="002B445D"/>
    <w:rsid w:val="002B5135"/>
    <w:rsid w:val="002B66E7"/>
    <w:rsid w:val="002C0324"/>
    <w:rsid w:val="002C3B18"/>
    <w:rsid w:val="002D0B91"/>
    <w:rsid w:val="002D24A9"/>
    <w:rsid w:val="002D2FBF"/>
    <w:rsid w:val="002D3512"/>
    <w:rsid w:val="002D4458"/>
    <w:rsid w:val="002D48C4"/>
    <w:rsid w:val="002E0F8C"/>
    <w:rsid w:val="002E6B75"/>
    <w:rsid w:val="002E7366"/>
    <w:rsid w:val="002F0354"/>
    <w:rsid w:val="002F2409"/>
    <w:rsid w:val="002F3197"/>
    <w:rsid w:val="002F3321"/>
    <w:rsid w:val="002F593D"/>
    <w:rsid w:val="002F710D"/>
    <w:rsid w:val="002F713C"/>
    <w:rsid w:val="002F791B"/>
    <w:rsid w:val="003026BB"/>
    <w:rsid w:val="00306F6D"/>
    <w:rsid w:val="003075A1"/>
    <w:rsid w:val="003078FA"/>
    <w:rsid w:val="00315F39"/>
    <w:rsid w:val="0031726D"/>
    <w:rsid w:val="00320C0B"/>
    <w:rsid w:val="00322FC3"/>
    <w:rsid w:val="00324FC3"/>
    <w:rsid w:val="00327B33"/>
    <w:rsid w:val="00340F8F"/>
    <w:rsid w:val="003445ED"/>
    <w:rsid w:val="00344DA3"/>
    <w:rsid w:val="0035299A"/>
    <w:rsid w:val="0035318A"/>
    <w:rsid w:val="00357C9E"/>
    <w:rsid w:val="00360BAC"/>
    <w:rsid w:val="00364E32"/>
    <w:rsid w:val="0037190E"/>
    <w:rsid w:val="00374E92"/>
    <w:rsid w:val="00375BB0"/>
    <w:rsid w:val="00376C3A"/>
    <w:rsid w:val="003778DE"/>
    <w:rsid w:val="00380C26"/>
    <w:rsid w:val="003902B3"/>
    <w:rsid w:val="003932C2"/>
    <w:rsid w:val="003A179B"/>
    <w:rsid w:val="003A19B3"/>
    <w:rsid w:val="003A2A00"/>
    <w:rsid w:val="003A41FF"/>
    <w:rsid w:val="003A4709"/>
    <w:rsid w:val="003A57DC"/>
    <w:rsid w:val="003B1048"/>
    <w:rsid w:val="003B3570"/>
    <w:rsid w:val="003B3C45"/>
    <w:rsid w:val="003B4457"/>
    <w:rsid w:val="003B53D0"/>
    <w:rsid w:val="003B56E0"/>
    <w:rsid w:val="003C07D8"/>
    <w:rsid w:val="003C1384"/>
    <w:rsid w:val="003C178B"/>
    <w:rsid w:val="003C20F0"/>
    <w:rsid w:val="003C2781"/>
    <w:rsid w:val="003C396E"/>
    <w:rsid w:val="003C3F29"/>
    <w:rsid w:val="003C6A94"/>
    <w:rsid w:val="003C6FFF"/>
    <w:rsid w:val="003D299E"/>
    <w:rsid w:val="003D30E7"/>
    <w:rsid w:val="003E26FE"/>
    <w:rsid w:val="003E4BD2"/>
    <w:rsid w:val="003E7031"/>
    <w:rsid w:val="003F207A"/>
    <w:rsid w:val="003F5668"/>
    <w:rsid w:val="003F578C"/>
    <w:rsid w:val="003F6C5B"/>
    <w:rsid w:val="003F7E8B"/>
    <w:rsid w:val="0040328B"/>
    <w:rsid w:val="004041E8"/>
    <w:rsid w:val="004042F4"/>
    <w:rsid w:val="004102A4"/>
    <w:rsid w:val="00413ACE"/>
    <w:rsid w:val="0041425F"/>
    <w:rsid w:val="00417FA4"/>
    <w:rsid w:val="00424873"/>
    <w:rsid w:val="00430808"/>
    <w:rsid w:val="00430ABB"/>
    <w:rsid w:val="00430B6A"/>
    <w:rsid w:val="00432D23"/>
    <w:rsid w:val="00436D3A"/>
    <w:rsid w:val="00437000"/>
    <w:rsid w:val="004374CA"/>
    <w:rsid w:val="004443A2"/>
    <w:rsid w:val="00446C99"/>
    <w:rsid w:val="004473E0"/>
    <w:rsid w:val="00453CD0"/>
    <w:rsid w:val="00463213"/>
    <w:rsid w:val="00464B33"/>
    <w:rsid w:val="00470DF5"/>
    <w:rsid w:val="0047146A"/>
    <w:rsid w:val="004716CF"/>
    <w:rsid w:val="004748DD"/>
    <w:rsid w:val="00476A8B"/>
    <w:rsid w:val="004771A9"/>
    <w:rsid w:val="00481694"/>
    <w:rsid w:val="00483EA5"/>
    <w:rsid w:val="004856F8"/>
    <w:rsid w:val="00492A01"/>
    <w:rsid w:val="0049524C"/>
    <w:rsid w:val="004956A4"/>
    <w:rsid w:val="0049596C"/>
    <w:rsid w:val="0049634F"/>
    <w:rsid w:val="004A10E2"/>
    <w:rsid w:val="004A444D"/>
    <w:rsid w:val="004A5559"/>
    <w:rsid w:val="004A56EC"/>
    <w:rsid w:val="004B08E1"/>
    <w:rsid w:val="004B09D3"/>
    <w:rsid w:val="004B1BF8"/>
    <w:rsid w:val="004B2C74"/>
    <w:rsid w:val="004C07B7"/>
    <w:rsid w:val="004C1F00"/>
    <w:rsid w:val="004C55CA"/>
    <w:rsid w:val="004C6EFF"/>
    <w:rsid w:val="004D08A9"/>
    <w:rsid w:val="004D1CF7"/>
    <w:rsid w:val="004D6832"/>
    <w:rsid w:val="004E13D0"/>
    <w:rsid w:val="004E3779"/>
    <w:rsid w:val="004E70E4"/>
    <w:rsid w:val="004E7C83"/>
    <w:rsid w:val="004F020D"/>
    <w:rsid w:val="004F3F7C"/>
    <w:rsid w:val="004F4D6B"/>
    <w:rsid w:val="004F6172"/>
    <w:rsid w:val="004F6600"/>
    <w:rsid w:val="00505294"/>
    <w:rsid w:val="00505AF5"/>
    <w:rsid w:val="00507676"/>
    <w:rsid w:val="00513FF9"/>
    <w:rsid w:val="00515123"/>
    <w:rsid w:val="005173B1"/>
    <w:rsid w:val="005176C0"/>
    <w:rsid w:val="0052474E"/>
    <w:rsid w:val="005258FD"/>
    <w:rsid w:val="0052711B"/>
    <w:rsid w:val="00527B1C"/>
    <w:rsid w:val="00530CF5"/>
    <w:rsid w:val="00530D1B"/>
    <w:rsid w:val="00532AB8"/>
    <w:rsid w:val="00534089"/>
    <w:rsid w:val="0053793E"/>
    <w:rsid w:val="0054114D"/>
    <w:rsid w:val="005422F7"/>
    <w:rsid w:val="00542EF9"/>
    <w:rsid w:val="005461D0"/>
    <w:rsid w:val="0055009D"/>
    <w:rsid w:val="00562FB8"/>
    <w:rsid w:val="005639BD"/>
    <w:rsid w:val="0056428C"/>
    <w:rsid w:val="00566D3E"/>
    <w:rsid w:val="005701E8"/>
    <w:rsid w:val="005726D6"/>
    <w:rsid w:val="005755F9"/>
    <w:rsid w:val="00576C1D"/>
    <w:rsid w:val="00577477"/>
    <w:rsid w:val="00577659"/>
    <w:rsid w:val="005801EB"/>
    <w:rsid w:val="00582E54"/>
    <w:rsid w:val="005832B5"/>
    <w:rsid w:val="00585A03"/>
    <w:rsid w:val="00586542"/>
    <w:rsid w:val="00586E99"/>
    <w:rsid w:val="005871C9"/>
    <w:rsid w:val="0059244D"/>
    <w:rsid w:val="005934D5"/>
    <w:rsid w:val="00594067"/>
    <w:rsid w:val="00596DB8"/>
    <w:rsid w:val="00596F68"/>
    <w:rsid w:val="00597F44"/>
    <w:rsid w:val="005A0B8B"/>
    <w:rsid w:val="005A26F2"/>
    <w:rsid w:val="005A72CD"/>
    <w:rsid w:val="005B347D"/>
    <w:rsid w:val="005B3967"/>
    <w:rsid w:val="005C0194"/>
    <w:rsid w:val="005C2993"/>
    <w:rsid w:val="005C3BA1"/>
    <w:rsid w:val="005C5873"/>
    <w:rsid w:val="005C783C"/>
    <w:rsid w:val="005C79BC"/>
    <w:rsid w:val="005D245E"/>
    <w:rsid w:val="005D3C37"/>
    <w:rsid w:val="005D52DF"/>
    <w:rsid w:val="005D69C3"/>
    <w:rsid w:val="005D7A22"/>
    <w:rsid w:val="005E0A35"/>
    <w:rsid w:val="005E0BE5"/>
    <w:rsid w:val="005E12A6"/>
    <w:rsid w:val="005F061F"/>
    <w:rsid w:val="005F29BD"/>
    <w:rsid w:val="005F29FB"/>
    <w:rsid w:val="005F45DD"/>
    <w:rsid w:val="005F5129"/>
    <w:rsid w:val="005F6FD0"/>
    <w:rsid w:val="00601935"/>
    <w:rsid w:val="00601A25"/>
    <w:rsid w:val="00606053"/>
    <w:rsid w:val="00611FF3"/>
    <w:rsid w:val="00613A31"/>
    <w:rsid w:val="006146CE"/>
    <w:rsid w:val="00616E62"/>
    <w:rsid w:val="006235F2"/>
    <w:rsid w:val="00627DF6"/>
    <w:rsid w:val="00630813"/>
    <w:rsid w:val="00633612"/>
    <w:rsid w:val="00635016"/>
    <w:rsid w:val="006406BC"/>
    <w:rsid w:val="006450EF"/>
    <w:rsid w:val="0064619E"/>
    <w:rsid w:val="00652AC9"/>
    <w:rsid w:val="00654EE8"/>
    <w:rsid w:val="00665228"/>
    <w:rsid w:val="00667262"/>
    <w:rsid w:val="006724F4"/>
    <w:rsid w:val="00672733"/>
    <w:rsid w:val="00673791"/>
    <w:rsid w:val="0068479C"/>
    <w:rsid w:val="00684D5E"/>
    <w:rsid w:val="00684F3B"/>
    <w:rsid w:val="00684F78"/>
    <w:rsid w:val="006864A5"/>
    <w:rsid w:val="0068671C"/>
    <w:rsid w:val="0068793A"/>
    <w:rsid w:val="00691F24"/>
    <w:rsid w:val="0069249F"/>
    <w:rsid w:val="0069586F"/>
    <w:rsid w:val="006A1048"/>
    <w:rsid w:val="006A7BEF"/>
    <w:rsid w:val="006B01E9"/>
    <w:rsid w:val="006B2816"/>
    <w:rsid w:val="006B72A4"/>
    <w:rsid w:val="006C18B2"/>
    <w:rsid w:val="006C1E61"/>
    <w:rsid w:val="006C2062"/>
    <w:rsid w:val="006C2A9C"/>
    <w:rsid w:val="006C47A0"/>
    <w:rsid w:val="006C56AF"/>
    <w:rsid w:val="006C5FF5"/>
    <w:rsid w:val="006C72C5"/>
    <w:rsid w:val="006C7AB1"/>
    <w:rsid w:val="006D3CE3"/>
    <w:rsid w:val="006D5112"/>
    <w:rsid w:val="006E2FCF"/>
    <w:rsid w:val="006E3A30"/>
    <w:rsid w:val="006E4334"/>
    <w:rsid w:val="006E44CE"/>
    <w:rsid w:val="006E4505"/>
    <w:rsid w:val="006F2DB8"/>
    <w:rsid w:val="006F32B5"/>
    <w:rsid w:val="006F343F"/>
    <w:rsid w:val="006F3442"/>
    <w:rsid w:val="006F63A7"/>
    <w:rsid w:val="00701BAD"/>
    <w:rsid w:val="00703756"/>
    <w:rsid w:val="00703C2E"/>
    <w:rsid w:val="007079D3"/>
    <w:rsid w:val="00707D37"/>
    <w:rsid w:val="00714055"/>
    <w:rsid w:val="00714868"/>
    <w:rsid w:val="00715769"/>
    <w:rsid w:val="007162AF"/>
    <w:rsid w:val="00716DB4"/>
    <w:rsid w:val="0072012D"/>
    <w:rsid w:val="00720421"/>
    <w:rsid w:val="007220C7"/>
    <w:rsid w:val="00723BFD"/>
    <w:rsid w:val="00723FF0"/>
    <w:rsid w:val="00724188"/>
    <w:rsid w:val="00724196"/>
    <w:rsid w:val="00731386"/>
    <w:rsid w:val="00731676"/>
    <w:rsid w:val="007324CF"/>
    <w:rsid w:val="0073347A"/>
    <w:rsid w:val="00734EE9"/>
    <w:rsid w:val="00744BBE"/>
    <w:rsid w:val="00747F2A"/>
    <w:rsid w:val="00760529"/>
    <w:rsid w:val="00771F79"/>
    <w:rsid w:val="007753D0"/>
    <w:rsid w:val="00777FF8"/>
    <w:rsid w:val="00781438"/>
    <w:rsid w:val="00787C0C"/>
    <w:rsid w:val="00787CBD"/>
    <w:rsid w:val="007900A9"/>
    <w:rsid w:val="0079038B"/>
    <w:rsid w:val="00791133"/>
    <w:rsid w:val="007A67C9"/>
    <w:rsid w:val="007B3AA6"/>
    <w:rsid w:val="007B5AC3"/>
    <w:rsid w:val="007B7892"/>
    <w:rsid w:val="007B7BBE"/>
    <w:rsid w:val="007C0E76"/>
    <w:rsid w:val="007C3C3A"/>
    <w:rsid w:val="007C67A1"/>
    <w:rsid w:val="007D0E52"/>
    <w:rsid w:val="007D2B17"/>
    <w:rsid w:val="007D2F66"/>
    <w:rsid w:val="007E15BB"/>
    <w:rsid w:val="007E15D8"/>
    <w:rsid w:val="007E27B7"/>
    <w:rsid w:val="007E6BA1"/>
    <w:rsid w:val="007E75F5"/>
    <w:rsid w:val="008001E2"/>
    <w:rsid w:val="0080290B"/>
    <w:rsid w:val="00805BA3"/>
    <w:rsid w:val="008117B9"/>
    <w:rsid w:val="008119C4"/>
    <w:rsid w:val="00812B33"/>
    <w:rsid w:val="00814DAF"/>
    <w:rsid w:val="00814E78"/>
    <w:rsid w:val="008169F0"/>
    <w:rsid w:val="00831379"/>
    <w:rsid w:val="008355BC"/>
    <w:rsid w:val="00840362"/>
    <w:rsid w:val="00840A6A"/>
    <w:rsid w:val="008433A7"/>
    <w:rsid w:val="00843915"/>
    <w:rsid w:val="0085278A"/>
    <w:rsid w:val="00852F8C"/>
    <w:rsid w:val="00854DC5"/>
    <w:rsid w:val="00856C4A"/>
    <w:rsid w:val="008638AC"/>
    <w:rsid w:val="00865152"/>
    <w:rsid w:val="00866E3B"/>
    <w:rsid w:val="008679E7"/>
    <w:rsid w:val="00870FA2"/>
    <w:rsid w:val="008717A8"/>
    <w:rsid w:val="00882279"/>
    <w:rsid w:val="00885BDF"/>
    <w:rsid w:val="0088667C"/>
    <w:rsid w:val="00887530"/>
    <w:rsid w:val="008907FF"/>
    <w:rsid w:val="008916E9"/>
    <w:rsid w:val="008935F5"/>
    <w:rsid w:val="0089373B"/>
    <w:rsid w:val="008A00BB"/>
    <w:rsid w:val="008A61FF"/>
    <w:rsid w:val="008A66DC"/>
    <w:rsid w:val="008A781C"/>
    <w:rsid w:val="008B066A"/>
    <w:rsid w:val="008B29CF"/>
    <w:rsid w:val="008B71C3"/>
    <w:rsid w:val="008C1FC3"/>
    <w:rsid w:val="008C4075"/>
    <w:rsid w:val="008C77A5"/>
    <w:rsid w:val="008D0574"/>
    <w:rsid w:val="008D3EE0"/>
    <w:rsid w:val="008D4405"/>
    <w:rsid w:val="008D477C"/>
    <w:rsid w:val="008E02D4"/>
    <w:rsid w:val="008E3443"/>
    <w:rsid w:val="008E3E5C"/>
    <w:rsid w:val="008E4F60"/>
    <w:rsid w:val="008E5871"/>
    <w:rsid w:val="008E6949"/>
    <w:rsid w:val="008E7381"/>
    <w:rsid w:val="008F06FE"/>
    <w:rsid w:val="008F1106"/>
    <w:rsid w:val="008F17E9"/>
    <w:rsid w:val="008F1C1C"/>
    <w:rsid w:val="008F50E4"/>
    <w:rsid w:val="008F5A07"/>
    <w:rsid w:val="008F7A32"/>
    <w:rsid w:val="00914296"/>
    <w:rsid w:val="00914958"/>
    <w:rsid w:val="00920DC2"/>
    <w:rsid w:val="00922173"/>
    <w:rsid w:val="00923F95"/>
    <w:rsid w:val="009247C5"/>
    <w:rsid w:val="009265BF"/>
    <w:rsid w:val="00926B48"/>
    <w:rsid w:val="0092751B"/>
    <w:rsid w:val="00931C89"/>
    <w:rsid w:val="0093255B"/>
    <w:rsid w:val="00933A5E"/>
    <w:rsid w:val="0093429F"/>
    <w:rsid w:val="00934741"/>
    <w:rsid w:val="0093640D"/>
    <w:rsid w:val="0093736C"/>
    <w:rsid w:val="009421D9"/>
    <w:rsid w:val="00944802"/>
    <w:rsid w:val="00944CFF"/>
    <w:rsid w:val="00950C0A"/>
    <w:rsid w:val="00954BC6"/>
    <w:rsid w:val="00955549"/>
    <w:rsid w:val="00956CE8"/>
    <w:rsid w:val="0096326E"/>
    <w:rsid w:val="00967047"/>
    <w:rsid w:val="00973A9E"/>
    <w:rsid w:val="00976DA9"/>
    <w:rsid w:val="009813EC"/>
    <w:rsid w:val="00983E66"/>
    <w:rsid w:val="00986846"/>
    <w:rsid w:val="00990D27"/>
    <w:rsid w:val="00991CE4"/>
    <w:rsid w:val="009A07B5"/>
    <w:rsid w:val="009A0C97"/>
    <w:rsid w:val="009A161C"/>
    <w:rsid w:val="009A2228"/>
    <w:rsid w:val="009A511F"/>
    <w:rsid w:val="009A5E6E"/>
    <w:rsid w:val="009A6792"/>
    <w:rsid w:val="009B10A8"/>
    <w:rsid w:val="009B2691"/>
    <w:rsid w:val="009B37C2"/>
    <w:rsid w:val="009B66E1"/>
    <w:rsid w:val="009D3411"/>
    <w:rsid w:val="009D3D30"/>
    <w:rsid w:val="009D436C"/>
    <w:rsid w:val="009D46B4"/>
    <w:rsid w:val="009D5C03"/>
    <w:rsid w:val="009E0CCC"/>
    <w:rsid w:val="009E117F"/>
    <w:rsid w:val="009E3D26"/>
    <w:rsid w:val="009E40D6"/>
    <w:rsid w:val="009E5556"/>
    <w:rsid w:val="009E62BD"/>
    <w:rsid w:val="009E7206"/>
    <w:rsid w:val="009F1660"/>
    <w:rsid w:val="00A03E9C"/>
    <w:rsid w:val="00A05656"/>
    <w:rsid w:val="00A07574"/>
    <w:rsid w:val="00A16A3A"/>
    <w:rsid w:val="00A17C1F"/>
    <w:rsid w:val="00A17C96"/>
    <w:rsid w:val="00A20288"/>
    <w:rsid w:val="00A212EB"/>
    <w:rsid w:val="00A226FC"/>
    <w:rsid w:val="00A25337"/>
    <w:rsid w:val="00A272A6"/>
    <w:rsid w:val="00A27B13"/>
    <w:rsid w:val="00A32434"/>
    <w:rsid w:val="00A34393"/>
    <w:rsid w:val="00A34A7D"/>
    <w:rsid w:val="00A36F9A"/>
    <w:rsid w:val="00A40AE7"/>
    <w:rsid w:val="00A418C6"/>
    <w:rsid w:val="00A423CF"/>
    <w:rsid w:val="00A44059"/>
    <w:rsid w:val="00A45C11"/>
    <w:rsid w:val="00A4610F"/>
    <w:rsid w:val="00A4776D"/>
    <w:rsid w:val="00A55D6E"/>
    <w:rsid w:val="00A57D82"/>
    <w:rsid w:val="00A63817"/>
    <w:rsid w:val="00A638EF"/>
    <w:rsid w:val="00A63E0C"/>
    <w:rsid w:val="00A6788B"/>
    <w:rsid w:val="00A7048C"/>
    <w:rsid w:val="00A71638"/>
    <w:rsid w:val="00A72A1A"/>
    <w:rsid w:val="00A7470E"/>
    <w:rsid w:val="00A751B1"/>
    <w:rsid w:val="00A873DB"/>
    <w:rsid w:val="00A92809"/>
    <w:rsid w:val="00A95C48"/>
    <w:rsid w:val="00AA0ACC"/>
    <w:rsid w:val="00AA5A83"/>
    <w:rsid w:val="00AA5F74"/>
    <w:rsid w:val="00AA7D65"/>
    <w:rsid w:val="00AA7F52"/>
    <w:rsid w:val="00AB0BAC"/>
    <w:rsid w:val="00AB29B4"/>
    <w:rsid w:val="00AC2F76"/>
    <w:rsid w:val="00AD0475"/>
    <w:rsid w:val="00AD1001"/>
    <w:rsid w:val="00AD43D2"/>
    <w:rsid w:val="00AE0FBC"/>
    <w:rsid w:val="00AE284C"/>
    <w:rsid w:val="00AE3B3E"/>
    <w:rsid w:val="00AF15A6"/>
    <w:rsid w:val="00AF450E"/>
    <w:rsid w:val="00AF4755"/>
    <w:rsid w:val="00B017D6"/>
    <w:rsid w:val="00B01F0C"/>
    <w:rsid w:val="00B0211D"/>
    <w:rsid w:val="00B0308A"/>
    <w:rsid w:val="00B032F1"/>
    <w:rsid w:val="00B037EF"/>
    <w:rsid w:val="00B0381D"/>
    <w:rsid w:val="00B0740D"/>
    <w:rsid w:val="00B07644"/>
    <w:rsid w:val="00B10694"/>
    <w:rsid w:val="00B146F3"/>
    <w:rsid w:val="00B1577B"/>
    <w:rsid w:val="00B20090"/>
    <w:rsid w:val="00B206AA"/>
    <w:rsid w:val="00B216FD"/>
    <w:rsid w:val="00B25376"/>
    <w:rsid w:val="00B25BBD"/>
    <w:rsid w:val="00B261B3"/>
    <w:rsid w:val="00B26901"/>
    <w:rsid w:val="00B31C05"/>
    <w:rsid w:val="00B33093"/>
    <w:rsid w:val="00B36743"/>
    <w:rsid w:val="00B411F2"/>
    <w:rsid w:val="00B4142E"/>
    <w:rsid w:val="00B428A0"/>
    <w:rsid w:val="00B43087"/>
    <w:rsid w:val="00B45E1A"/>
    <w:rsid w:val="00B60B7E"/>
    <w:rsid w:val="00B700B7"/>
    <w:rsid w:val="00B73EC6"/>
    <w:rsid w:val="00B744FB"/>
    <w:rsid w:val="00B747A3"/>
    <w:rsid w:val="00B7493D"/>
    <w:rsid w:val="00B7548F"/>
    <w:rsid w:val="00B771E9"/>
    <w:rsid w:val="00B80BA3"/>
    <w:rsid w:val="00B80F36"/>
    <w:rsid w:val="00B84F04"/>
    <w:rsid w:val="00BA0262"/>
    <w:rsid w:val="00BA37FA"/>
    <w:rsid w:val="00BA59B9"/>
    <w:rsid w:val="00BA5C49"/>
    <w:rsid w:val="00BA6967"/>
    <w:rsid w:val="00BA6E8F"/>
    <w:rsid w:val="00BA7B39"/>
    <w:rsid w:val="00BB07BD"/>
    <w:rsid w:val="00BB1975"/>
    <w:rsid w:val="00BB6064"/>
    <w:rsid w:val="00BB667B"/>
    <w:rsid w:val="00BB6A43"/>
    <w:rsid w:val="00BB7D07"/>
    <w:rsid w:val="00BC05F7"/>
    <w:rsid w:val="00BC1832"/>
    <w:rsid w:val="00BC1A5C"/>
    <w:rsid w:val="00BC26FA"/>
    <w:rsid w:val="00BC499D"/>
    <w:rsid w:val="00BC5041"/>
    <w:rsid w:val="00BC562E"/>
    <w:rsid w:val="00BC6154"/>
    <w:rsid w:val="00BC6793"/>
    <w:rsid w:val="00BD008D"/>
    <w:rsid w:val="00BD134D"/>
    <w:rsid w:val="00BD3904"/>
    <w:rsid w:val="00BD4D34"/>
    <w:rsid w:val="00BD4F9A"/>
    <w:rsid w:val="00BE04BA"/>
    <w:rsid w:val="00BE26A4"/>
    <w:rsid w:val="00BE28B3"/>
    <w:rsid w:val="00BE6315"/>
    <w:rsid w:val="00BE6C9C"/>
    <w:rsid w:val="00BF32B5"/>
    <w:rsid w:val="00C0279F"/>
    <w:rsid w:val="00C04B01"/>
    <w:rsid w:val="00C066EB"/>
    <w:rsid w:val="00C06922"/>
    <w:rsid w:val="00C21BC2"/>
    <w:rsid w:val="00C22059"/>
    <w:rsid w:val="00C22CF1"/>
    <w:rsid w:val="00C32C78"/>
    <w:rsid w:val="00C40E52"/>
    <w:rsid w:val="00C4228F"/>
    <w:rsid w:val="00C42620"/>
    <w:rsid w:val="00C42CBE"/>
    <w:rsid w:val="00C47C42"/>
    <w:rsid w:val="00C544EA"/>
    <w:rsid w:val="00C54D88"/>
    <w:rsid w:val="00C56BA3"/>
    <w:rsid w:val="00C70C04"/>
    <w:rsid w:val="00C72A5A"/>
    <w:rsid w:val="00C77FD4"/>
    <w:rsid w:val="00C976CD"/>
    <w:rsid w:val="00CA1345"/>
    <w:rsid w:val="00CB7E44"/>
    <w:rsid w:val="00CC4BAC"/>
    <w:rsid w:val="00CC7334"/>
    <w:rsid w:val="00CC7750"/>
    <w:rsid w:val="00CC7FE8"/>
    <w:rsid w:val="00CD624F"/>
    <w:rsid w:val="00CD70E3"/>
    <w:rsid w:val="00CE02DA"/>
    <w:rsid w:val="00CE06FE"/>
    <w:rsid w:val="00CE0B85"/>
    <w:rsid w:val="00CE15EA"/>
    <w:rsid w:val="00CE1B77"/>
    <w:rsid w:val="00CE1C5B"/>
    <w:rsid w:val="00CE658D"/>
    <w:rsid w:val="00CF1183"/>
    <w:rsid w:val="00CF1566"/>
    <w:rsid w:val="00CF2EBC"/>
    <w:rsid w:val="00CF31D1"/>
    <w:rsid w:val="00CF469E"/>
    <w:rsid w:val="00D0117E"/>
    <w:rsid w:val="00D02FA7"/>
    <w:rsid w:val="00D0399B"/>
    <w:rsid w:val="00D109F1"/>
    <w:rsid w:val="00D10A01"/>
    <w:rsid w:val="00D14A13"/>
    <w:rsid w:val="00D17389"/>
    <w:rsid w:val="00D24C68"/>
    <w:rsid w:val="00D26122"/>
    <w:rsid w:val="00D26BCF"/>
    <w:rsid w:val="00D32F7A"/>
    <w:rsid w:val="00D356A4"/>
    <w:rsid w:val="00D40D28"/>
    <w:rsid w:val="00D42CED"/>
    <w:rsid w:val="00D42D19"/>
    <w:rsid w:val="00D613F1"/>
    <w:rsid w:val="00D64FFF"/>
    <w:rsid w:val="00D65726"/>
    <w:rsid w:val="00D71D37"/>
    <w:rsid w:val="00D75F53"/>
    <w:rsid w:val="00D7718D"/>
    <w:rsid w:val="00D860C8"/>
    <w:rsid w:val="00D86CE4"/>
    <w:rsid w:val="00DA4D53"/>
    <w:rsid w:val="00DA54A9"/>
    <w:rsid w:val="00DA7EF8"/>
    <w:rsid w:val="00DB2FD6"/>
    <w:rsid w:val="00DB7FB7"/>
    <w:rsid w:val="00DC298A"/>
    <w:rsid w:val="00DC577D"/>
    <w:rsid w:val="00DD0BD3"/>
    <w:rsid w:val="00DD2969"/>
    <w:rsid w:val="00DD4A5E"/>
    <w:rsid w:val="00DD501D"/>
    <w:rsid w:val="00DD71C1"/>
    <w:rsid w:val="00DE042F"/>
    <w:rsid w:val="00DE1AA0"/>
    <w:rsid w:val="00DE32DA"/>
    <w:rsid w:val="00DE3365"/>
    <w:rsid w:val="00DE5D43"/>
    <w:rsid w:val="00DE6292"/>
    <w:rsid w:val="00DE7649"/>
    <w:rsid w:val="00DF1AD6"/>
    <w:rsid w:val="00DF3274"/>
    <w:rsid w:val="00DF5C24"/>
    <w:rsid w:val="00E02780"/>
    <w:rsid w:val="00E059C0"/>
    <w:rsid w:val="00E05B04"/>
    <w:rsid w:val="00E07841"/>
    <w:rsid w:val="00E07A6E"/>
    <w:rsid w:val="00E07B6D"/>
    <w:rsid w:val="00E10C06"/>
    <w:rsid w:val="00E14B34"/>
    <w:rsid w:val="00E15C75"/>
    <w:rsid w:val="00E20162"/>
    <w:rsid w:val="00E220C9"/>
    <w:rsid w:val="00E22D59"/>
    <w:rsid w:val="00E230BD"/>
    <w:rsid w:val="00E2439E"/>
    <w:rsid w:val="00E25C5E"/>
    <w:rsid w:val="00E25E48"/>
    <w:rsid w:val="00E2722B"/>
    <w:rsid w:val="00E32FBA"/>
    <w:rsid w:val="00E363F1"/>
    <w:rsid w:val="00E409F8"/>
    <w:rsid w:val="00E43059"/>
    <w:rsid w:val="00E4364C"/>
    <w:rsid w:val="00E43F8E"/>
    <w:rsid w:val="00E50C25"/>
    <w:rsid w:val="00E5149B"/>
    <w:rsid w:val="00E536E1"/>
    <w:rsid w:val="00E55049"/>
    <w:rsid w:val="00E56A11"/>
    <w:rsid w:val="00E57BA0"/>
    <w:rsid w:val="00E612A0"/>
    <w:rsid w:val="00E618E3"/>
    <w:rsid w:val="00E65192"/>
    <w:rsid w:val="00E667C8"/>
    <w:rsid w:val="00E67699"/>
    <w:rsid w:val="00E71067"/>
    <w:rsid w:val="00E72F0F"/>
    <w:rsid w:val="00E76F60"/>
    <w:rsid w:val="00E7778D"/>
    <w:rsid w:val="00E77C86"/>
    <w:rsid w:val="00E8013B"/>
    <w:rsid w:val="00E814B4"/>
    <w:rsid w:val="00E841B1"/>
    <w:rsid w:val="00E86CC3"/>
    <w:rsid w:val="00E87470"/>
    <w:rsid w:val="00E87B50"/>
    <w:rsid w:val="00E90816"/>
    <w:rsid w:val="00E925ED"/>
    <w:rsid w:val="00E927E9"/>
    <w:rsid w:val="00E956A9"/>
    <w:rsid w:val="00EA1827"/>
    <w:rsid w:val="00EA2089"/>
    <w:rsid w:val="00EA2B50"/>
    <w:rsid w:val="00EA3651"/>
    <w:rsid w:val="00EA4DE2"/>
    <w:rsid w:val="00EA66D0"/>
    <w:rsid w:val="00EA72B6"/>
    <w:rsid w:val="00EA7772"/>
    <w:rsid w:val="00EB0759"/>
    <w:rsid w:val="00EB186F"/>
    <w:rsid w:val="00EB2509"/>
    <w:rsid w:val="00EB28F7"/>
    <w:rsid w:val="00EB3158"/>
    <w:rsid w:val="00EB4F13"/>
    <w:rsid w:val="00EB5483"/>
    <w:rsid w:val="00EC1794"/>
    <w:rsid w:val="00EC4B2A"/>
    <w:rsid w:val="00EC660B"/>
    <w:rsid w:val="00ED320F"/>
    <w:rsid w:val="00ED67CD"/>
    <w:rsid w:val="00ED71DF"/>
    <w:rsid w:val="00EE0394"/>
    <w:rsid w:val="00EE4CE5"/>
    <w:rsid w:val="00EE52E6"/>
    <w:rsid w:val="00EE538A"/>
    <w:rsid w:val="00EE5654"/>
    <w:rsid w:val="00EE7787"/>
    <w:rsid w:val="00EF032C"/>
    <w:rsid w:val="00EF2F9C"/>
    <w:rsid w:val="00EF3109"/>
    <w:rsid w:val="00EF5E1A"/>
    <w:rsid w:val="00EF6A30"/>
    <w:rsid w:val="00F01D26"/>
    <w:rsid w:val="00F01F7A"/>
    <w:rsid w:val="00F03297"/>
    <w:rsid w:val="00F0509E"/>
    <w:rsid w:val="00F059FE"/>
    <w:rsid w:val="00F119FC"/>
    <w:rsid w:val="00F14385"/>
    <w:rsid w:val="00F14956"/>
    <w:rsid w:val="00F15B37"/>
    <w:rsid w:val="00F21716"/>
    <w:rsid w:val="00F21CF6"/>
    <w:rsid w:val="00F22EC0"/>
    <w:rsid w:val="00F23EF6"/>
    <w:rsid w:val="00F26408"/>
    <w:rsid w:val="00F265AB"/>
    <w:rsid w:val="00F2728A"/>
    <w:rsid w:val="00F30623"/>
    <w:rsid w:val="00F309F5"/>
    <w:rsid w:val="00F366C4"/>
    <w:rsid w:val="00F3765C"/>
    <w:rsid w:val="00F44D5E"/>
    <w:rsid w:val="00F47123"/>
    <w:rsid w:val="00F47EFD"/>
    <w:rsid w:val="00F51B13"/>
    <w:rsid w:val="00F55FE3"/>
    <w:rsid w:val="00F56ED3"/>
    <w:rsid w:val="00F67F2A"/>
    <w:rsid w:val="00F74005"/>
    <w:rsid w:val="00F7416F"/>
    <w:rsid w:val="00F74C3E"/>
    <w:rsid w:val="00F750BA"/>
    <w:rsid w:val="00F75D96"/>
    <w:rsid w:val="00F7778B"/>
    <w:rsid w:val="00F77B14"/>
    <w:rsid w:val="00F77B5D"/>
    <w:rsid w:val="00F82ACB"/>
    <w:rsid w:val="00F84185"/>
    <w:rsid w:val="00F84D07"/>
    <w:rsid w:val="00F8626B"/>
    <w:rsid w:val="00F92D78"/>
    <w:rsid w:val="00F94FCD"/>
    <w:rsid w:val="00FA14A7"/>
    <w:rsid w:val="00FA32AC"/>
    <w:rsid w:val="00FA3375"/>
    <w:rsid w:val="00FB0CEA"/>
    <w:rsid w:val="00FB19FF"/>
    <w:rsid w:val="00FB20ED"/>
    <w:rsid w:val="00FB2AFF"/>
    <w:rsid w:val="00FB3D24"/>
    <w:rsid w:val="00FC1251"/>
    <w:rsid w:val="00FC1A81"/>
    <w:rsid w:val="00FC3AC9"/>
    <w:rsid w:val="00FC46EB"/>
    <w:rsid w:val="00FC4B9B"/>
    <w:rsid w:val="00FC63CC"/>
    <w:rsid w:val="00FC7819"/>
    <w:rsid w:val="00FD0B2C"/>
    <w:rsid w:val="00FD0DCB"/>
    <w:rsid w:val="00FD1138"/>
    <w:rsid w:val="00FD1288"/>
    <w:rsid w:val="00FD4F21"/>
    <w:rsid w:val="00FD6B56"/>
    <w:rsid w:val="00FD6BCF"/>
    <w:rsid w:val="00FE0C9A"/>
    <w:rsid w:val="00FE0D63"/>
    <w:rsid w:val="00FF1640"/>
    <w:rsid w:val="00FF2BDB"/>
    <w:rsid w:val="00FF4AC9"/>
    <w:rsid w:val="00FF6E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7CBA7"/>
  <w15:chartTrackingRefBased/>
  <w15:docId w15:val="{BAC8818B-1B14-4D23-A1E0-9DE5ECAB0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2AB8"/>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532A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32A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32A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32A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32A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32AB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32AB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32AB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32AB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2A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32A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32A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32A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32A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32A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32A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32A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32AB8"/>
    <w:rPr>
      <w:rFonts w:eastAsiaTheme="majorEastAsia" w:cstheme="majorBidi"/>
      <w:color w:val="272727" w:themeColor="text1" w:themeTint="D8"/>
    </w:rPr>
  </w:style>
  <w:style w:type="paragraph" w:styleId="Title">
    <w:name w:val="Title"/>
    <w:basedOn w:val="Normal"/>
    <w:next w:val="Normal"/>
    <w:link w:val="TitleChar"/>
    <w:uiPriority w:val="10"/>
    <w:qFormat/>
    <w:rsid w:val="00532AB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2A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2A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2A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32AB8"/>
    <w:pPr>
      <w:spacing w:before="160"/>
      <w:jc w:val="center"/>
    </w:pPr>
    <w:rPr>
      <w:i/>
      <w:iCs/>
      <w:color w:val="404040" w:themeColor="text1" w:themeTint="BF"/>
    </w:rPr>
  </w:style>
  <w:style w:type="character" w:customStyle="1" w:styleId="QuoteChar">
    <w:name w:val="Quote Char"/>
    <w:basedOn w:val="DefaultParagraphFont"/>
    <w:link w:val="Quote"/>
    <w:uiPriority w:val="29"/>
    <w:rsid w:val="00532AB8"/>
    <w:rPr>
      <w:i/>
      <w:iCs/>
      <w:color w:val="404040" w:themeColor="text1" w:themeTint="BF"/>
    </w:rPr>
  </w:style>
  <w:style w:type="paragraph" w:styleId="ListParagraph">
    <w:name w:val="List Paragraph"/>
    <w:basedOn w:val="Normal"/>
    <w:uiPriority w:val="34"/>
    <w:qFormat/>
    <w:rsid w:val="00532AB8"/>
    <w:pPr>
      <w:ind w:left="720"/>
      <w:contextualSpacing/>
    </w:pPr>
  </w:style>
  <w:style w:type="character" w:styleId="IntenseEmphasis">
    <w:name w:val="Intense Emphasis"/>
    <w:basedOn w:val="DefaultParagraphFont"/>
    <w:uiPriority w:val="21"/>
    <w:qFormat/>
    <w:rsid w:val="00532AB8"/>
    <w:rPr>
      <w:i/>
      <w:iCs/>
      <w:color w:val="0F4761" w:themeColor="accent1" w:themeShade="BF"/>
    </w:rPr>
  </w:style>
  <w:style w:type="paragraph" w:styleId="IntenseQuote">
    <w:name w:val="Intense Quote"/>
    <w:basedOn w:val="Normal"/>
    <w:next w:val="Normal"/>
    <w:link w:val="IntenseQuoteChar"/>
    <w:uiPriority w:val="30"/>
    <w:qFormat/>
    <w:rsid w:val="00532A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2AB8"/>
    <w:rPr>
      <w:i/>
      <w:iCs/>
      <w:color w:val="0F4761" w:themeColor="accent1" w:themeShade="BF"/>
    </w:rPr>
  </w:style>
  <w:style w:type="character" w:styleId="IntenseReference">
    <w:name w:val="Intense Reference"/>
    <w:basedOn w:val="DefaultParagraphFont"/>
    <w:uiPriority w:val="32"/>
    <w:qFormat/>
    <w:rsid w:val="00532AB8"/>
    <w:rPr>
      <w:b/>
      <w:bCs/>
      <w:smallCaps/>
      <w:color w:val="0F4761" w:themeColor="accent1" w:themeShade="BF"/>
      <w:spacing w:val="5"/>
    </w:rPr>
  </w:style>
  <w:style w:type="table" w:customStyle="1" w:styleId="TableGrid1">
    <w:name w:val="Table Grid1"/>
    <w:basedOn w:val="TableNormal"/>
    <w:next w:val="TableGrid"/>
    <w:uiPriority w:val="59"/>
    <w:rsid w:val="00532AB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1">
    <w:name w:val="Header1"/>
    <w:basedOn w:val="Normal"/>
    <w:next w:val="Header"/>
    <w:link w:val="HeaderChar"/>
    <w:uiPriority w:val="99"/>
    <w:unhideWhenUsed/>
    <w:rsid w:val="00532AB8"/>
    <w:pPr>
      <w:tabs>
        <w:tab w:val="center" w:pos="4680"/>
        <w:tab w:val="right" w:pos="9360"/>
      </w:tabs>
    </w:pPr>
  </w:style>
  <w:style w:type="character" w:customStyle="1" w:styleId="HeaderChar">
    <w:name w:val="Header Char"/>
    <w:basedOn w:val="DefaultParagraphFont"/>
    <w:link w:val="Header1"/>
    <w:uiPriority w:val="99"/>
    <w:rsid w:val="00532AB8"/>
    <w:rPr>
      <w:rFonts w:ascii="Times New Roman" w:eastAsia="Times New Roman" w:hAnsi="Times New Roman" w:cs="Times New Roman"/>
      <w:kern w:val="0"/>
      <w14:ligatures w14:val="none"/>
    </w:rPr>
  </w:style>
  <w:style w:type="paragraph" w:customStyle="1" w:styleId="Footer1">
    <w:name w:val="Footer1"/>
    <w:basedOn w:val="Normal"/>
    <w:next w:val="Footer"/>
    <w:link w:val="FooterChar"/>
    <w:uiPriority w:val="99"/>
    <w:unhideWhenUsed/>
    <w:rsid w:val="00532AB8"/>
    <w:pPr>
      <w:tabs>
        <w:tab w:val="center" w:pos="4680"/>
        <w:tab w:val="right" w:pos="9360"/>
      </w:tabs>
    </w:pPr>
  </w:style>
  <w:style w:type="character" w:customStyle="1" w:styleId="FooterChar">
    <w:name w:val="Footer Char"/>
    <w:basedOn w:val="DefaultParagraphFont"/>
    <w:link w:val="Footer1"/>
    <w:uiPriority w:val="99"/>
    <w:rsid w:val="00532AB8"/>
    <w:rPr>
      <w:rFonts w:ascii="Times New Roman" w:eastAsia="Times New Roman" w:hAnsi="Times New Roman" w:cs="Times New Roman"/>
      <w:kern w:val="0"/>
      <w14:ligatures w14:val="none"/>
    </w:rPr>
  </w:style>
  <w:style w:type="paragraph" w:styleId="NoSpacing">
    <w:name w:val="No Spacing"/>
    <w:link w:val="NoSpacingChar"/>
    <w:uiPriority w:val="1"/>
    <w:qFormat/>
    <w:rsid w:val="00532AB8"/>
    <w:pPr>
      <w:pBdr>
        <w:top w:val="nil"/>
        <w:left w:val="nil"/>
        <w:bottom w:val="nil"/>
        <w:right w:val="nil"/>
        <w:between w:val="nil"/>
        <w:bar w:val="nil"/>
      </w:pBdr>
      <w:spacing w:after="0" w:line="240" w:lineRule="auto"/>
    </w:pPr>
    <w:rPr>
      <w:rFonts w:ascii="Times New Roman" w:eastAsia="Arial Unicode MS" w:hAnsi="Times New Roman" w:cs="Times New Roman"/>
      <w:kern w:val="0"/>
      <w:bdr w:val="nil"/>
    </w:rPr>
  </w:style>
  <w:style w:type="paragraph" w:customStyle="1" w:styleId="Default">
    <w:name w:val="Default"/>
    <w:rsid w:val="00532AB8"/>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kern w:val="0"/>
      <w:bdr w:val="nil"/>
      <w:lang w:val="de-DE" w:eastAsia="en-GB"/>
    </w:rPr>
  </w:style>
  <w:style w:type="paragraph" w:customStyle="1" w:styleId="NormalWeb1">
    <w:name w:val="Normal (Web)1"/>
    <w:basedOn w:val="Normal"/>
    <w:next w:val="NormalWeb"/>
    <w:uiPriority w:val="99"/>
    <w:unhideWhenUsed/>
    <w:rsid w:val="00532AB8"/>
  </w:style>
  <w:style w:type="character" w:customStyle="1" w:styleId="usercontent">
    <w:name w:val="usercontent"/>
    <w:basedOn w:val="DefaultParagraphFont"/>
    <w:rsid w:val="00532AB8"/>
  </w:style>
  <w:style w:type="character" w:customStyle="1" w:styleId="ufb-text-content">
    <w:name w:val="ufb-text-content"/>
    <w:basedOn w:val="DefaultParagraphFont"/>
    <w:rsid w:val="00532AB8"/>
  </w:style>
  <w:style w:type="paragraph" w:customStyle="1" w:styleId="yiv519561133msonormal">
    <w:name w:val="yiv519561133msonormal"/>
    <w:basedOn w:val="Normal"/>
    <w:rsid w:val="00532AB8"/>
    <w:pPr>
      <w:spacing w:before="100" w:beforeAutospacing="1" w:after="100" w:afterAutospacing="1"/>
    </w:pPr>
  </w:style>
  <w:style w:type="character" w:customStyle="1" w:styleId="Hyperlink1">
    <w:name w:val="Hyperlink1"/>
    <w:basedOn w:val="DefaultParagraphFont"/>
    <w:uiPriority w:val="99"/>
    <w:unhideWhenUsed/>
    <w:rsid w:val="00532AB8"/>
    <w:rPr>
      <w:color w:val="0563C1"/>
      <w:u w:val="single"/>
    </w:rPr>
  </w:style>
  <w:style w:type="character" w:customStyle="1" w:styleId="FollowedHyperlink1">
    <w:name w:val="FollowedHyperlink1"/>
    <w:basedOn w:val="DefaultParagraphFont"/>
    <w:uiPriority w:val="99"/>
    <w:semiHidden/>
    <w:unhideWhenUsed/>
    <w:rsid w:val="00532AB8"/>
    <w:rPr>
      <w:color w:val="954F72"/>
      <w:u w:val="single"/>
    </w:rPr>
  </w:style>
  <w:style w:type="character" w:styleId="Strong">
    <w:name w:val="Strong"/>
    <w:uiPriority w:val="22"/>
    <w:qFormat/>
    <w:rsid w:val="00532AB8"/>
    <w:rPr>
      <w:b/>
      <w:bCs/>
    </w:rPr>
  </w:style>
  <w:style w:type="paragraph" w:styleId="FootnoteText">
    <w:name w:val="footnote text"/>
    <w:basedOn w:val="Normal"/>
    <w:link w:val="FootnoteTextChar"/>
    <w:uiPriority w:val="99"/>
    <w:unhideWhenUsed/>
    <w:rsid w:val="00532AB8"/>
    <w:pPr>
      <w:pBdr>
        <w:top w:val="nil"/>
        <w:left w:val="nil"/>
        <w:bottom w:val="nil"/>
        <w:right w:val="nil"/>
        <w:between w:val="nil"/>
        <w:bar w:val="nil"/>
      </w:pBdr>
      <w:spacing w:after="200" w:line="276" w:lineRule="auto"/>
    </w:pPr>
    <w:rPr>
      <w:rFonts w:ascii="Calibri" w:eastAsia="Calibri" w:hAnsi="Calibri" w:cs="Calibri"/>
      <w:color w:val="000000"/>
      <w:sz w:val="20"/>
      <w:szCs w:val="20"/>
      <w:u w:color="000000"/>
      <w:bdr w:val="nil"/>
    </w:rPr>
  </w:style>
  <w:style w:type="character" w:customStyle="1" w:styleId="FootnoteTextChar">
    <w:name w:val="Footnote Text Char"/>
    <w:basedOn w:val="DefaultParagraphFont"/>
    <w:link w:val="FootnoteText"/>
    <w:uiPriority w:val="99"/>
    <w:rsid w:val="00532AB8"/>
    <w:rPr>
      <w:rFonts w:ascii="Calibri" w:eastAsia="Calibri" w:hAnsi="Calibri" w:cs="Calibri"/>
      <w:color w:val="000000"/>
      <w:kern w:val="0"/>
      <w:sz w:val="20"/>
      <w:szCs w:val="20"/>
      <w:u w:color="000000"/>
      <w:bdr w:val="nil"/>
      <w14:ligatures w14:val="none"/>
    </w:rPr>
  </w:style>
  <w:style w:type="character" w:styleId="FootnoteReference">
    <w:name w:val="footnote reference"/>
    <w:uiPriority w:val="99"/>
    <w:unhideWhenUsed/>
    <w:rsid w:val="00532AB8"/>
    <w:rPr>
      <w:vertAlign w:val="superscript"/>
    </w:rPr>
  </w:style>
  <w:style w:type="paragraph" w:customStyle="1" w:styleId="MittleresRaster1-Akzent21">
    <w:name w:val="Mittleres Raster 1 - Akzent 21"/>
    <w:uiPriority w:val="34"/>
    <w:qFormat/>
    <w:rsid w:val="00532AB8"/>
    <w:pPr>
      <w:pBdr>
        <w:top w:val="nil"/>
        <w:left w:val="nil"/>
        <w:bottom w:val="nil"/>
        <w:right w:val="nil"/>
        <w:between w:val="nil"/>
        <w:bar w:val="nil"/>
      </w:pBdr>
      <w:spacing w:after="200" w:line="276" w:lineRule="auto"/>
      <w:ind w:left="720"/>
    </w:pPr>
    <w:rPr>
      <w:rFonts w:ascii="Calibri" w:eastAsia="Calibri" w:hAnsi="Calibri" w:cs="Calibri"/>
      <w:color w:val="000000"/>
      <w:kern w:val="0"/>
      <w:sz w:val="22"/>
      <w:szCs w:val="22"/>
      <w:u w:color="000000"/>
      <w:bdr w:val="nil"/>
      <w14:ligatures w14:val="none"/>
    </w:rPr>
  </w:style>
  <w:style w:type="paragraph" w:customStyle="1" w:styleId="BalloonText1">
    <w:name w:val="Balloon Text1"/>
    <w:basedOn w:val="Normal"/>
    <w:next w:val="BalloonText"/>
    <w:link w:val="BalloonTextChar"/>
    <w:uiPriority w:val="99"/>
    <w:semiHidden/>
    <w:unhideWhenUsed/>
    <w:rsid w:val="00532AB8"/>
    <w:rPr>
      <w:rFonts w:ascii="Tahoma" w:hAnsi="Tahoma" w:cs="Tahoma"/>
      <w:sz w:val="16"/>
      <w:szCs w:val="16"/>
    </w:rPr>
  </w:style>
  <w:style w:type="character" w:customStyle="1" w:styleId="BalloonTextChar">
    <w:name w:val="Balloon Text Char"/>
    <w:basedOn w:val="DefaultParagraphFont"/>
    <w:link w:val="BalloonText1"/>
    <w:uiPriority w:val="99"/>
    <w:semiHidden/>
    <w:rsid w:val="00532AB8"/>
    <w:rPr>
      <w:rFonts w:ascii="Tahoma" w:eastAsia="Times New Roman" w:hAnsi="Tahoma" w:cs="Tahoma"/>
      <w:kern w:val="0"/>
      <w:sz w:val="16"/>
      <w:szCs w:val="16"/>
      <w14:ligatures w14:val="none"/>
    </w:rPr>
  </w:style>
  <w:style w:type="character" w:styleId="CommentReference">
    <w:name w:val="annotation reference"/>
    <w:basedOn w:val="DefaultParagraphFont"/>
    <w:uiPriority w:val="99"/>
    <w:semiHidden/>
    <w:unhideWhenUsed/>
    <w:rsid w:val="00532AB8"/>
    <w:rPr>
      <w:sz w:val="16"/>
      <w:szCs w:val="16"/>
    </w:rPr>
  </w:style>
  <w:style w:type="paragraph" w:customStyle="1" w:styleId="CommentText1">
    <w:name w:val="Comment Text1"/>
    <w:basedOn w:val="Normal"/>
    <w:next w:val="CommentText"/>
    <w:link w:val="CommentTextChar"/>
    <w:uiPriority w:val="99"/>
    <w:unhideWhenUsed/>
    <w:rsid w:val="00532AB8"/>
    <w:pPr>
      <w:spacing w:after="200"/>
    </w:pPr>
    <w:rPr>
      <w:sz w:val="20"/>
      <w:szCs w:val="20"/>
    </w:rPr>
  </w:style>
  <w:style w:type="character" w:customStyle="1" w:styleId="CommentTextChar">
    <w:name w:val="Comment Text Char"/>
    <w:basedOn w:val="DefaultParagraphFont"/>
    <w:link w:val="CommentText1"/>
    <w:uiPriority w:val="99"/>
    <w:rsid w:val="00532AB8"/>
    <w:rPr>
      <w:rFonts w:ascii="Times New Roman" w:eastAsia="Times New Roman" w:hAnsi="Times New Roman" w:cs="Times New Roman"/>
      <w:kern w:val="0"/>
      <w:sz w:val="20"/>
      <w:szCs w:val="20"/>
      <w14:ligatures w14:val="none"/>
    </w:rPr>
  </w:style>
  <w:style w:type="paragraph" w:customStyle="1" w:styleId="CommentSubject1">
    <w:name w:val="Comment Subject1"/>
    <w:basedOn w:val="CommentText"/>
    <w:next w:val="CommentText"/>
    <w:uiPriority w:val="99"/>
    <w:semiHidden/>
    <w:unhideWhenUsed/>
    <w:rsid w:val="00532AB8"/>
    <w:pPr>
      <w:spacing w:after="200"/>
    </w:pPr>
    <w:rPr>
      <w:b/>
      <w:bCs/>
    </w:rPr>
  </w:style>
  <w:style w:type="character" w:customStyle="1" w:styleId="CommentSubjectChar">
    <w:name w:val="Comment Subject Char"/>
    <w:basedOn w:val="CommentTextChar"/>
    <w:link w:val="CommentSubject"/>
    <w:uiPriority w:val="99"/>
    <w:semiHidden/>
    <w:rsid w:val="00532AB8"/>
    <w:rPr>
      <w:rFonts w:ascii="Times New Roman" w:eastAsia="Times New Roman" w:hAnsi="Times New Roman" w:cs="Times New Roman"/>
      <w:b/>
      <w:bCs/>
      <w:kern w:val="0"/>
      <w:sz w:val="20"/>
      <w:szCs w:val="20"/>
      <w14:ligatures w14:val="none"/>
    </w:rPr>
  </w:style>
  <w:style w:type="paragraph" w:customStyle="1" w:styleId="Revision1">
    <w:name w:val="Revision1"/>
    <w:next w:val="Revision"/>
    <w:hidden/>
    <w:uiPriority w:val="99"/>
    <w:semiHidden/>
    <w:rsid w:val="00532AB8"/>
    <w:pPr>
      <w:spacing w:after="0" w:line="240" w:lineRule="auto"/>
    </w:pPr>
    <w:rPr>
      <w:kern w:val="0"/>
      <w:sz w:val="22"/>
      <w:szCs w:val="22"/>
      <w14:ligatures w14:val="none"/>
    </w:rPr>
  </w:style>
  <w:style w:type="paragraph" w:customStyle="1" w:styleId="EndnoteText1">
    <w:name w:val="Endnote Text1"/>
    <w:basedOn w:val="Normal"/>
    <w:next w:val="EndnoteText"/>
    <w:link w:val="EndnoteTextChar"/>
    <w:uiPriority w:val="99"/>
    <w:semiHidden/>
    <w:unhideWhenUsed/>
    <w:rsid w:val="00532AB8"/>
    <w:rPr>
      <w:sz w:val="20"/>
      <w:szCs w:val="20"/>
    </w:rPr>
  </w:style>
  <w:style w:type="character" w:customStyle="1" w:styleId="EndnoteTextChar">
    <w:name w:val="Endnote Text Char"/>
    <w:basedOn w:val="DefaultParagraphFont"/>
    <w:link w:val="EndnoteText1"/>
    <w:uiPriority w:val="99"/>
    <w:semiHidden/>
    <w:rsid w:val="00532AB8"/>
    <w:rPr>
      <w:rFonts w:ascii="Times New Roman" w:eastAsia="Times New Roman" w:hAnsi="Times New Roman" w:cs="Times New Roman"/>
      <w:kern w:val="0"/>
      <w:sz w:val="20"/>
      <w:szCs w:val="20"/>
      <w14:ligatures w14:val="none"/>
    </w:rPr>
  </w:style>
  <w:style w:type="character" w:styleId="EndnoteReference">
    <w:name w:val="endnote reference"/>
    <w:basedOn w:val="DefaultParagraphFont"/>
    <w:uiPriority w:val="99"/>
    <w:semiHidden/>
    <w:unhideWhenUsed/>
    <w:rsid w:val="00532AB8"/>
    <w:rPr>
      <w:vertAlign w:val="superscript"/>
    </w:rPr>
  </w:style>
  <w:style w:type="paragraph" w:customStyle="1" w:styleId="TOCHeading1">
    <w:name w:val="TOC Heading1"/>
    <w:basedOn w:val="Heading1"/>
    <w:next w:val="Normal"/>
    <w:uiPriority w:val="39"/>
    <w:unhideWhenUsed/>
    <w:qFormat/>
    <w:rsid w:val="00532AB8"/>
    <w:pPr>
      <w:spacing w:before="480" w:after="0" w:line="276" w:lineRule="auto"/>
      <w:outlineLvl w:val="9"/>
    </w:pPr>
    <w:rPr>
      <w:b/>
      <w:bCs/>
      <w:sz w:val="28"/>
      <w:szCs w:val="28"/>
      <w:lang w:eastAsia="ja-JP"/>
    </w:rPr>
  </w:style>
  <w:style w:type="paragraph" w:customStyle="1" w:styleId="TOC31">
    <w:name w:val="TOC 31"/>
    <w:basedOn w:val="Normal"/>
    <w:next w:val="Normal"/>
    <w:autoRedefine/>
    <w:uiPriority w:val="39"/>
    <w:unhideWhenUsed/>
    <w:qFormat/>
    <w:rsid w:val="00532AB8"/>
    <w:pPr>
      <w:spacing w:after="100" w:line="276" w:lineRule="auto"/>
      <w:ind w:left="440"/>
    </w:pPr>
  </w:style>
  <w:style w:type="paragraph" w:customStyle="1" w:styleId="TOC21">
    <w:name w:val="TOC 21"/>
    <w:basedOn w:val="Normal"/>
    <w:next w:val="Normal"/>
    <w:autoRedefine/>
    <w:uiPriority w:val="39"/>
    <w:unhideWhenUsed/>
    <w:qFormat/>
    <w:rsid w:val="00532AB8"/>
    <w:pPr>
      <w:spacing w:after="100" w:line="276" w:lineRule="auto"/>
      <w:ind w:left="220"/>
    </w:pPr>
    <w:rPr>
      <w:lang w:eastAsia="ja-JP"/>
    </w:rPr>
  </w:style>
  <w:style w:type="paragraph" w:customStyle="1" w:styleId="TOC11">
    <w:name w:val="TOC 11"/>
    <w:basedOn w:val="Normal"/>
    <w:next w:val="Normal"/>
    <w:autoRedefine/>
    <w:uiPriority w:val="39"/>
    <w:unhideWhenUsed/>
    <w:qFormat/>
    <w:rsid w:val="00532AB8"/>
    <w:pPr>
      <w:spacing w:after="100" w:line="276" w:lineRule="auto"/>
    </w:pPr>
    <w:rPr>
      <w:lang w:eastAsia="ja-JP"/>
    </w:rPr>
  </w:style>
  <w:style w:type="table" w:customStyle="1" w:styleId="TableGrid11">
    <w:name w:val="Table Grid11"/>
    <w:basedOn w:val="TableNormal"/>
    <w:next w:val="TableGrid"/>
    <w:uiPriority w:val="39"/>
    <w:rsid w:val="00532AB8"/>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ption1">
    <w:name w:val="Caption1"/>
    <w:basedOn w:val="Normal"/>
    <w:next w:val="Normal"/>
    <w:uiPriority w:val="35"/>
    <w:unhideWhenUsed/>
    <w:qFormat/>
    <w:rsid w:val="00532AB8"/>
    <w:pPr>
      <w:spacing w:after="200"/>
    </w:pPr>
    <w:rPr>
      <w:i/>
      <w:iCs/>
      <w:color w:val="1F497D"/>
      <w:sz w:val="18"/>
      <w:szCs w:val="18"/>
    </w:rPr>
  </w:style>
  <w:style w:type="character" w:customStyle="1" w:styleId="NoSpacingChar">
    <w:name w:val="No Spacing Char"/>
    <w:link w:val="NoSpacing"/>
    <w:uiPriority w:val="1"/>
    <w:rsid w:val="00532AB8"/>
    <w:rPr>
      <w:rFonts w:ascii="Times New Roman" w:eastAsia="Arial Unicode MS" w:hAnsi="Times New Roman" w:cs="Times New Roman"/>
      <w:kern w:val="0"/>
      <w:bdr w:val="nil"/>
    </w:rPr>
  </w:style>
  <w:style w:type="paragraph" w:customStyle="1" w:styleId="Caption2">
    <w:name w:val="Caption2"/>
    <w:basedOn w:val="Normal"/>
    <w:next w:val="Normal"/>
    <w:uiPriority w:val="35"/>
    <w:unhideWhenUsed/>
    <w:qFormat/>
    <w:rsid w:val="00532AB8"/>
    <w:pPr>
      <w:spacing w:after="200"/>
    </w:pPr>
    <w:rPr>
      <w:i/>
      <w:iCs/>
      <w:color w:val="44546A"/>
      <w:sz w:val="18"/>
      <w:szCs w:val="18"/>
    </w:rPr>
  </w:style>
  <w:style w:type="paragraph" w:customStyle="1" w:styleId="story-body-text">
    <w:name w:val="story-body-text"/>
    <w:basedOn w:val="Normal"/>
    <w:rsid w:val="00532AB8"/>
    <w:pPr>
      <w:spacing w:before="100" w:beforeAutospacing="1" w:after="100" w:afterAutospacing="1"/>
    </w:pPr>
  </w:style>
  <w:style w:type="character" w:customStyle="1" w:styleId="d2edcug0">
    <w:name w:val="d2edcug0"/>
    <w:basedOn w:val="DefaultParagraphFont"/>
    <w:rsid w:val="00532AB8"/>
  </w:style>
  <w:style w:type="character" w:customStyle="1" w:styleId="UnresolvedMention1">
    <w:name w:val="Unresolved Mention1"/>
    <w:basedOn w:val="DefaultParagraphFont"/>
    <w:uiPriority w:val="99"/>
    <w:semiHidden/>
    <w:unhideWhenUsed/>
    <w:rsid w:val="00532AB8"/>
    <w:rPr>
      <w:color w:val="605E5C"/>
      <w:shd w:val="clear" w:color="auto" w:fill="E1DFDD"/>
    </w:rPr>
  </w:style>
  <w:style w:type="table" w:customStyle="1" w:styleId="GridTable2-Accent51">
    <w:name w:val="Grid Table 2 - Accent 51"/>
    <w:basedOn w:val="TableNormal"/>
    <w:next w:val="GridTable2-Accent5"/>
    <w:uiPriority w:val="47"/>
    <w:rsid w:val="00532AB8"/>
    <w:pPr>
      <w:spacing w:after="0" w:line="240" w:lineRule="auto"/>
    </w:pPr>
    <w:rPr>
      <w:sz w:val="22"/>
      <w:szCs w:val="22"/>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leGridLight1">
    <w:name w:val="Table Grid Light1"/>
    <w:basedOn w:val="TableNormal"/>
    <w:next w:val="TableGridLight"/>
    <w:uiPriority w:val="40"/>
    <w:rsid w:val="00532AB8"/>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customStyle="1" w:styleId="UnresolvedMention2">
    <w:name w:val="Unresolved Mention2"/>
    <w:basedOn w:val="DefaultParagraphFont"/>
    <w:uiPriority w:val="99"/>
    <w:semiHidden/>
    <w:unhideWhenUsed/>
    <w:rsid w:val="00532AB8"/>
    <w:rPr>
      <w:color w:val="605E5C"/>
      <w:shd w:val="clear" w:color="auto" w:fill="E1DFDD"/>
    </w:rPr>
  </w:style>
  <w:style w:type="table" w:styleId="TableGrid">
    <w:name w:val="Table Grid"/>
    <w:basedOn w:val="TableNormal"/>
    <w:uiPriority w:val="39"/>
    <w:rsid w:val="00532AB8"/>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532AB8"/>
    <w:pPr>
      <w:tabs>
        <w:tab w:val="center" w:pos="4680"/>
        <w:tab w:val="right" w:pos="9360"/>
      </w:tabs>
    </w:pPr>
  </w:style>
  <w:style w:type="character" w:customStyle="1" w:styleId="HeaderChar1">
    <w:name w:val="Header Char1"/>
    <w:basedOn w:val="DefaultParagraphFont"/>
    <w:link w:val="Header"/>
    <w:uiPriority w:val="99"/>
    <w:rsid w:val="00532AB8"/>
    <w:rPr>
      <w:rFonts w:ascii="Times New Roman" w:eastAsia="Times New Roman" w:hAnsi="Times New Roman" w:cs="Times New Roman"/>
      <w:kern w:val="0"/>
      <w14:ligatures w14:val="none"/>
    </w:rPr>
  </w:style>
  <w:style w:type="paragraph" w:styleId="Footer">
    <w:name w:val="footer"/>
    <w:basedOn w:val="Normal"/>
    <w:link w:val="FooterChar1"/>
    <w:uiPriority w:val="99"/>
    <w:unhideWhenUsed/>
    <w:rsid w:val="00532AB8"/>
    <w:pPr>
      <w:tabs>
        <w:tab w:val="center" w:pos="4680"/>
        <w:tab w:val="right" w:pos="9360"/>
      </w:tabs>
    </w:pPr>
  </w:style>
  <w:style w:type="character" w:customStyle="1" w:styleId="FooterChar1">
    <w:name w:val="Footer Char1"/>
    <w:basedOn w:val="DefaultParagraphFont"/>
    <w:link w:val="Footer"/>
    <w:uiPriority w:val="99"/>
    <w:rsid w:val="00532AB8"/>
    <w:rPr>
      <w:rFonts w:ascii="Times New Roman" w:eastAsia="Times New Roman" w:hAnsi="Times New Roman" w:cs="Times New Roman"/>
      <w:kern w:val="0"/>
      <w14:ligatures w14:val="none"/>
    </w:rPr>
  </w:style>
  <w:style w:type="paragraph" w:styleId="NormalWeb">
    <w:name w:val="Normal (Web)"/>
    <w:basedOn w:val="Normal"/>
    <w:uiPriority w:val="99"/>
    <w:unhideWhenUsed/>
    <w:rsid w:val="00532AB8"/>
  </w:style>
  <w:style w:type="character" w:styleId="Hyperlink">
    <w:name w:val="Hyperlink"/>
    <w:basedOn w:val="DefaultParagraphFont"/>
    <w:uiPriority w:val="99"/>
    <w:unhideWhenUsed/>
    <w:rsid w:val="00532AB8"/>
    <w:rPr>
      <w:color w:val="467886" w:themeColor="hyperlink"/>
      <w:u w:val="single"/>
    </w:rPr>
  </w:style>
  <w:style w:type="character" w:styleId="FollowedHyperlink">
    <w:name w:val="FollowedHyperlink"/>
    <w:basedOn w:val="DefaultParagraphFont"/>
    <w:uiPriority w:val="99"/>
    <w:semiHidden/>
    <w:unhideWhenUsed/>
    <w:rsid w:val="00532AB8"/>
    <w:rPr>
      <w:color w:val="96607D" w:themeColor="followedHyperlink"/>
      <w:u w:val="single"/>
    </w:rPr>
  </w:style>
  <w:style w:type="paragraph" w:styleId="BalloonText">
    <w:name w:val="Balloon Text"/>
    <w:basedOn w:val="Normal"/>
    <w:link w:val="BalloonTextChar1"/>
    <w:uiPriority w:val="99"/>
    <w:semiHidden/>
    <w:unhideWhenUsed/>
    <w:rsid w:val="00532AB8"/>
    <w:rPr>
      <w:rFonts w:ascii="Segoe UI" w:hAnsi="Segoe UI" w:cs="Segoe UI"/>
      <w:sz w:val="18"/>
      <w:szCs w:val="18"/>
    </w:rPr>
  </w:style>
  <w:style w:type="character" w:customStyle="1" w:styleId="BalloonTextChar1">
    <w:name w:val="Balloon Text Char1"/>
    <w:basedOn w:val="DefaultParagraphFont"/>
    <w:link w:val="BalloonText"/>
    <w:uiPriority w:val="99"/>
    <w:semiHidden/>
    <w:rsid w:val="00532AB8"/>
    <w:rPr>
      <w:rFonts w:ascii="Segoe UI" w:eastAsia="Times New Roman" w:hAnsi="Segoe UI" w:cs="Segoe UI"/>
      <w:kern w:val="0"/>
      <w:sz w:val="18"/>
      <w:szCs w:val="18"/>
      <w14:ligatures w14:val="none"/>
    </w:rPr>
  </w:style>
  <w:style w:type="paragraph" w:styleId="CommentText">
    <w:name w:val="annotation text"/>
    <w:basedOn w:val="Normal"/>
    <w:link w:val="CommentTextChar1"/>
    <w:uiPriority w:val="99"/>
    <w:unhideWhenUsed/>
    <w:rsid w:val="00532AB8"/>
    <w:rPr>
      <w:sz w:val="20"/>
      <w:szCs w:val="20"/>
    </w:rPr>
  </w:style>
  <w:style w:type="character" w:customStyle="1" w:styleId="CommentTextChar1">
    <w:name w:val="Comment Text Char1"/>
    <w:basedOn w:val="DefaultParagraphFont"/>
    <w:link w:val="CommentText"/>
    <w:uiPriority w:val="99"/>
    <w:rsid w:val="00532AB8"/>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532AB8"/>
    <w:rPr>
      <w:b/>
      <w:bCs/>
    </w:rPr>
  </w:style>
  <w:style w:type="character" w:customStyle="1" w:styleId="CommentSubjectChar1">
    <w:name w:val="Comment Subject Char1"/>
    <w:basedOn w:val="CommentTextChar1"/>
    <w:uiPriority w:val="99"/>
    <w:semiHidden/>
    <w:rsid w:val="00532AB8"/>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532AB8"/>
    <w:pPr>
      <w:spacing w:after="0" w:line="240" w:lineRule="auto"/>
    </w:pPr>
    <w:rPr>
      <w:sz w:val="22"/>
      <w:szCs w:val="22"/>
    </w:rPr>
  </w:style>
  <w:style w:type="paragraph" w:styleId="EndnoteText">
    <w:name w:val="endnote text"/>
    <w:basedOn w:val="Normal"/>
    <w:link w:val="EndnoteTextChar1"/>
    <w:uiPriority w:val="99"/>
    <w:semiHidden/>
    <w:unhideWhenUsed/>
    <w:rsid w:val="00532AB8"/>
    <w:rPr>
      <w:sz w:val="20"/>
      <w:szCs w:val="20"/>
    </w:rPr>
  </w:style>
  <w:style w:type="character" w:customStyle="1" w:styleId="EndnoteTextChar1">
    <w:name w:val="Endnote Text Char1"/>
    <w:basedOn w:val="DefaultParagraphFont"/>
    <w:link w:val="EndnoteText"/>
    <w:uiPriority w:val="99"/>
    <w:semiHidden/>
    <w:rsid w:val="00532AB8"/>
    <w:rPr>
      <w:rFonts w:ascii="Times New Roman" w:eastAsia="Times New Roman" w:hAnsi="Times New Roman" w:cs="Times New Roman"/>
      <w:kern w:val="0"/>
      <w:sz w:val="20"/>
      <w:szCs w:val="20"/>
      <w14:ligatures w14:val="none"/>
    </w:rPr>
  </w:style>
  <w:style w:type="table" w:styleId="GridTable2-Accent5">
    <w:name w:val="Grid Table 2 Accent 5"/>
    <w:basedOn w:val="TableNormal"/>
    <w:uiPriority w:val="47"/>
    <w:rsid w:val="00532AB8"/>
    <w:pPr>
      <w:spacing w:after="0" w:line="240" w:lineRule="auto"/>
    </w:pPr>
    <w:rPr>
      <w:sz w:val="22"/>
      <w:szCs w:val="22"/>
    </w:rPr>
    <w:tblPr>
      <w:tblStyleRowBandSize w:val="1"/>
      <w:tblStyleColBandSize w:val="1"/>
      <w:tblBorders>
        <w:top w:val="single" w:sz="2" w:space="0" w:color="D86DCB" w:themeColor="accent5" w:themeTint="99"/>
        <w:bottom w:val="single" w:sz="2" w:space="0" w:color="D86DCB" w:themeColor="accent5" w:themeTint="99"/>
        <w:insideH w:val="single" w:sz="2" w:space="0" w:color="D86DCB" w:themeColor="accent5" w:themeTint="99"/>
        <w:insideV w:val="single" w:sz="2" w:space="0" w:color="D86DCB" w:themeColor="accent5" w:themeTint="99"/>
      </w:tblBorders>
    </w:tblPr>
    <w:tblStylePr w:type="firstRow">
      <w:rPr>
        <w:b/>
        <w:bCs/>
      </w:rPr>
      <w:tblPr/>
      <w:tcPr>
        <w:tcBorders>
          <w:top w:val="nil"/>
          <w:bottom w:val="single" w:sz="12" w:space="0" w:color="D86DCB" w:themeColor="accent5" w:themeTint="99"/>
          <w:insideH w:val="nil"/>
          <w:insideV w:val="nil"/>
        </w:tcBorders>
        <w:shd w:val="clear" w:color="auto" w:fill="FFFFFF" w:themeFill="background1"/>
      </w:tcPr>
    </w:tblStylePr>
    <w:tblStylePr w:type="lastRow">
      <w:rPr>
        <w:b/>
        <w:bCs/>
      </w:rPr>
      <w:tblPr/>
      <w:tcPr>
        <w:tcBorders>
          <w:top w:val="double" w:sz="2" w:space="0" w:color="D86DC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CEED" w:themeFill="accent5" w:themeFillTint="33"/>
      </w:tcPr>
    </w:tblStylePr>
    <w:tblStylePr w:type="band1Horz">
      <w:tblPr/>
      <w:tcPr>
        <w:shd w:val="clear" w:color="auto" w:fill="F2CEED" w:themeFill="accent5" w:themeFillTint="33"/>
      </w:tcPr>
    </w:tblStylePr>
  </w:style>
  <w:style w:type="table" w:styleId="TableGridLight">
    <w:name w:val="Grid Table Light"/>
    <w:basedOn w:val="TableNormal"/>
    <w:uiPriority w:val="40"/>
    <w:rsid w:val="00532AB8"/>
    <w:pPr>
      <w:spacing w:after="0" w:line="240" w:lineRule="auto"/>
    </w:pPr>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Body">
    <w:name w:val="Body"/>
    <w:rsid w:val="00532AB8"/>
    <w:pPr>
      <w:pBdr>
        <w:top w:val="nil"/>
        <w:left w:val="nil"/>
        <w:bottom w:val="nil"/>
        <w:right w:val="nil"/>
        <w:between w:val="nil"/>
        <w:bar w:val="nil"/>
      </w:pBdr>
      <w:spacing w:line="259" w:lineRule="auto"/>
    </w:pPr>
    <w:rPr>
      <w:rFonts w:ascii="Calibri" w:eastAsia="Calibri" w:hAnsi="Calibri" w:cs="Calibri"/>
      <w:color w:val="000000"/>
      <w:kern w:val="0"/>
      <w:sz w:val="22"/>
      <w:szCs w:val="22"/>
      <w:u w:color="000000"/>
      <w:bdr w:val="nil"/>
      <w14:textOutline w14:w="0" w14:cap="flat" w14:cmpd="sng" w14:algn="ctr">
        <w14:noFill/>
        <w14:prstDash w14:val="solid"/>
        <w14:bevel/>
      </w14:textOutline>
      <w14:ligatures w14:val="none"/>
    </w:rPr>
  </w:style>
  <w:style w:type="character" w:styleId="UnresolvedMention">
    <w:name w:val="Unresolved Mention"/>
    <w:basedOn w:val="DefaultParagraphFont"/>
    <w:uiPriority w:val="99"/>
    <w:semiHidden/>
    <w:unhideWhenUsed/>
    <w:rsid w:val="00E8013B"/>
    <w:rPr>
      <w:color w:val="605E5C"/>
      <w:shd w:val="clear" w:color="auto" w:fill="E1DFDD"/>
    </w:rPr>
  </w:style>
  <w:style w:type="paragraph" w:customStyle="1" w:styleId="APR">
    <w:name w:val="APR"/>
    <w:basedOn w:val="Heading2"/>
    <w:link w:val="APRChar"/>
    <w:qFormat/>
    <w:rsid w:val="005871C9"/>
    <w:rPr>
      <w:rFonts w:eastAsia="Calibri"/>
      <w:b/>
      <w:bCs/>
      <w:sz w:val="24"/>
      <w:szCs w:val="24"/>
      <w:shd w:val="clear" w:color="auto" w:fill="FFFFFF"/>
    </w:rPr>
  </w:style>
  <w:style w:type="character" w:customStyle="1" w:styleId="APRChar">
    <w:name w:val="APR Char"/>
    <w:basedOn w:val="Heading2Char"/>
    <w:link w:val="APR"/>
    <w:rsid w:val="005871C9"/>
    <w:rPr>
      <w:rFonts w:asciiTheme="majorHAnsi" w:eastAsia="Calibri" w:hAnsiTheme="majorHAnsi" w:cstheme="majorBidi"/>
      <w:b/>
      <w:bCs/>
      <w:color w:val="0F4761" w:themeColor="accent1" w:themeShade="BF"/>
      <w:kern w:val="0"/>
      <w:sz w:val="32"/>
      <w:szCs w:val="32"/>
      <w14:ligatures w14:val="none"/>
    </w:rPr>
  </w:style>
  <w:style w:type="paragraph" w:styleId="TOCHeading">
    <w:name w:val="TOC Heading"/>
    <w:basedOn w:val="Heading1"/>
    <w:next w:val="Normal"/>
    <w:uiPriority w:val="39"/>
    <w:unhideWhenUsed/>
    <w:qFormat/>
    <w:rsid w:val="006C2062"/>
    <w:pPr>
      <w:spacing w:before="240" w:after="0" w:line="259" w:lineRule="auto"/>
      <w:outlineLvl w:val="9"/>
    </w:pPr>
    <w:rPr>
      <w:sz w:val="32"/>
      <w:szCs w:val="32"/>
    </w:rPr>
  </w:style>
  <w:style w:type="paragraph" w:styleId="TOC1">
    <w:name w:val="toc 1"/>
    <w:basedOn w:val="Normal"/>
    <w:next w:val="Normal"/>
    <w:autoRedefine/>
    <w:uiPriority w:val="39"/>
    <w:unhideWhenUsed/>
    <w:rsid w:val="006C2062"/>
    <w:pPr>
      <w:spacing w:after="100"/>
    </w:pPr>
  </w:style>
  <w:style w:type="paragraph" w:styleId="TOC2">
    <w:name w:val="toc 2"/>
    <w:basedOn w:val="Normal"/>
    <w:next w:val="Normal"/>
    <w:autoRedefine/>
    <w:uiPriority w:val="39"/>
    <w:unhideWhenUsed/>
    <w:rsid w:val="006C2062"/>
    <w:pPr>
      <w:spacing w:after="100"/>
      <w:ind w:left="240"/>
    </w:pPr>
  </w:style>
  <w:style w:type="paragraph" w:customStyle="1" w:styleId="yiv5391114602msonormal">
    <w:name w:val="yiv5391114602msonormal"/>
    <w:basedOn w:val="Normal"/>
    <w:rsid w:val="001B2F93"/>
    <w:pPr>
      <w:spacing w:before="100" w:beforeAutospacing="1" w:after="100" w:afterAutospacing="1"/>
    </w:pPr>
  </w:style>
  <w:style w:type="paragraph" w:customStyle="1" w:styleId="yiv8130064077msonormal">
    <w:name w:val="yiv8130064077msonormal"/>
    <w:basedOn w:val="Normal"/>
    <w:rsid w:val="001B2F9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iti.gy/newsletters/newsletter-march-2025-issue-no-1/" TargetMode="External"/><Relationship Id="rId18" Type="http://schemas.openxmlformats.org/officeDocument/2006/relationships/hyperlink" Target="https://eiti.gy/contracts-licenses/" TargetMode="External"/><Relationship Id="rId26" Type="http://schemas.openxmlformats.org/officeDocument/2006/relationships/hyperlink" Target="https://eiti.gy/documents/meeting-minutes-decisions/" TargetMode="External"/><Relationship Id="rId39" Type="http://schemas.openxmlformats.org/officeDocument/2006/relationships/hyperlink" Target="https://eiti.gy/wp-content/uploads/2025/12/GYEITI-2023-Report_31-Dec.pdf" TargetMode="External"/><Relationship Id="rId21" Type="http://schemas.openxmlformats.org/officeDocument/2006/relationships/hyperlink" Target="https://eiti.gy/wp-content/uploads/2025/09/GYEITI-Newsletter-Issue-2-2025-JD0923.pdf" TargetMode="External"/><Relationship Id="rId34" Type="http://schemas.openxmlformats.org/officeDocument/2006/relationships/hyperlink" Target="https://eiti.gy/contracts-licenses/" TargetMode="External"/><Relationship Id="rId42"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eiti.gy/outreach/" TargetMode="External"/><Relationship Id="rId20" Type="http://schemas.openxmlformats.org/officeDocument/2006/relationships/hyperlink" Target="https://eiti.gy/wp-content/uploads/2025/04/GYEITI-Newsletter-Issue-1-2025-JD0401v2-_GE0104v2.pdf" TargetMode="External"/><Relationship Id="rId29" Type="http://schemas.openxmlformats.org/officeDocument/2006/relationships/hyperlink" Target="https://petroleum.gov.gy/documents-categories/agreements/" TargetMode="External"/><Relationship Id="rId41"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iti.gy/reports/explore-guyanas-seventh-eiti-country-report-fy-2023/" TargetMode="External"/><Relationship Id="rId24" Type="http://schemas.openxmlformats.org/officeDocument/2006/relationships/hyperlink" Target="https://finance.gov.gy/wp-content/uploads/2025/01/Budget_Speech_2025.pdf" TargetMode="External"/><Relationship Id="rId32" Type="http://schemas.openxmlformats.org/officeDocument/2006/relationships/hyperlink" Target="https://cadasta.maps.arcgis.com/apps/webappviewer/index.html?id=eeb61ede40c0440c9678d056c09c59c5&amp;extent=-7027594.7508%2C499859.4891%2C-6244879.5812%2C893357.3107%2C102100" TargetMode="External"/><Relationship Id="rId37" Type="http://schemas.openxmlformats.org/officeDocument/2006/relationships/hyperlink" Target="https://eiti.gy/wp-content/uploads/2025/12/GYEITI-2023-Report_31-Dec.pdf" TargetMode="External"/><Relationship Id="rId40" Type="http://schemas.openxmlformats.org/officeDocument/2006/relationships/hyperlink" Target="https://eiti.gy/outreach/" TargetMode="External"/><Relationship Id="rId5" Type="http://schemas.openxmlformats.org/officeDocument/2006/relationships/webSettings" Target="webSettings.xml"/><Relationship Id="rId15" Type="http://schemas.openxmlformats.org/officeDocument/2006/relationships/hyperlink" Target="https://eiti.gy/eiti-blogs/" TargetMode="External"/><Relationship Id="rId23" Type="http://schemas.openxmlformats.org/officeDocument/2006/relationships/hyperlink" Target="https://eiti.gy/outreach/" TargetMode="External"/><Relationship Id="rId28" Type="http://schemas.openxmlformats.org/officeDocument/2006/relationships/hyperlink" Target="https://eiti.gy/mnr-statement-on-contract-transparency/" TargetMode="External"/><Relationship Id="rId36" Type="http://schemas.openxmlformats.org/officeDocument/2006/relationships/hyperlink" Target="https://eiti.gy/wp-content/uploads/2024/10/Guyana-BOT-Report-August-2024-FINAL-1.pdf" TargetMode="External"/><Relationship Id="rId10" Type="http://schemas.openxmlformats.org/officeDocument/2006/relationships/hyperlink" Target="https://eiti.gy/document/workplan-2025-2026/" TargetMode="External"/><Relationship Id="rId19" Type="http://schemas.openxmlformats.org/officeDocument/2006/relationships/hyperlink" Target="https://merundoi.org.gy/season-8/" TargetMode="External"/><Relationship Id="rId31" Type="http://schemas.openxmlformats.org/officeDocument/2006/relationships/hyperlink" Target="https://cadasta.maps.arcgis.com/apps/webappviewer/index.html?id=eeb61ede40c0440c9678d056c09c59c5&amp;extent=-7027594.7508,499859.4891,-6244879.5812,893357.3107,102100"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eiti.gy/newsletters/gyeiti-newsletter-issue-2-2025/" TargetMode="External"/><Relationship Id="rId22" Type="http://schemas.openxmlformats.org/officeDocument/2006/relationships/hyperlink" Target="https://eiti.gy/wp-content/uploads/2025/07/Data-Dissemination-Bulletin-FY-2021-VS-FY-2022-1.pdf" TargetMode="External"/><Relationship Id="rId27" Type="http://schemas.openxmlformats.org/officeDocument/2006/relationships/hyperlink" Target="https://eiti.gy/document/workplan-2025-2026/" TargetMode="External"/><Relationship Id="rId30" Type="http://schemas.openxmlformats.org/officeDocument/2006/relationships/hyperlink" Target="https://finance.gov.gy/mining/" TargetMode="External"/><Relationship Id="rId35" Type="http://schemas.openxmlformats.org/officeDocument/2006/relationships/hyperlink" Target="https://view.officeapps.live.com/op/view.aspx?src=https%3A%2F%2Feiti.gy%2Fwp-content%2Fuploads%2F2024%2F10%2FCopy-of-GYEITI-BO-Public-Register-As-at-May-1-2024.xlsx&amp;wdOrigin=BROWSELINK" TargetMode="External"/><Relationship Id="rId43" Type="http://schemas.openxmlformats.org/officeDocument/2006/relationships/theme" Target="theme/theme1.xml"/><Relationship Id="rId8" Type="http://schemas.openxmlformats.org/officeDocument/2006/relationships/footer" Target="footer1.xml"/><Relationship Id="rId3" Type="http://schemas.openxmlformats.org/officeDocument/2006/relationships/styles" Target="styles.xml"/><Relationship Id="rId12" Type="http://schemas.openxmlformats.org/officeDocument/2006/relationships/hyperlink" Target="https://eiti.gy/reports/data-dissemination-bulletin-fy-2021-vs-fy-2022-2/" TargetMode="External"/><Relationship Id="rId17" Type="http://schemas.openxmlformats.org/officeDocument/2006/relationships/hyperlink" Target="https://eiti.gy/news-events/" TargetMode="External"/><Relationship Id="rId25" Type="http://schemas.openxmlformats.org/officeDocument/2006/relationships/hyperlink" Target="https://eiti.gy/wp-content/uploads/2024/05/GYEITI-MSG-Policy-Manual.pdf" TargetMode="External"/><Relationship Id="rId33" Type="http://schemas.openxmlformats.org/officeDocument/2006/relationships/hyperlink" Target="https://cadasta.maps.arcgis.com/apps/webappviewer/index.html?id=e543e1d1d8f04bc29e16b448cd0beb76" TargetMode="External"/><Relationship Id="rId38" Type="http://schemas.openxmlformats.org/officeDocument/2006/relationships/hyperlink" Target="https://eiti.gy/wp-content/uploads/2025/12/GYEITI-2023-Report_31-Dec.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s://eiti.gy/" TargetMode="External"/><Relationship Id="rId1" Type="http://schemas.openxmlformats.org/officeDocument/2006/relationships/hyperlink" Target="mailto:gyeiti@nre.gov.gy"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s://eiti.gy/" TargetMode="External"/><Relationship Id="rId1" Type="http://schemas.openxmlformats.org/officeDocument/2006/relationships/hyperlink" Target="mailto:gyeiti@nre.gov.gy"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s://eiti.gy/" TargetMode="External"/><Relationship Id="rId1" Type="http://schemas.openxmlformats.org/officeDocument/2006/relationships/hyperlink" Target="mailto:gyeiti@nre.gov.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EADF5-E195-4DE5-AAF8-8DBCFD1497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39</Pages>
  <Words>16654</Words>
  <Characters>94928</Characters>
  <Application>Microsoft Office Word</Application>
  <DocSecurity>0</DocSecurity>
  <Lines>791</Lines>
  <Paragraphs>222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 earle</dc:creator>
  <cp:keywords/>
  <dc:description/>
  <cp:lastModifiedBy>Rajdai Jagarnauth</cp:lastModifiedBy>
  <cp:revision>2</cp:revision>
  <dcterms:created xsi:type="dcterms:W3CDTF">2026-03-08T17:51:00Z</dcterms:created>
  <dcterms:modified xsi:type="dcterms:W3CDTF">2026-03-08T17:51:00Z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68aee6b4-1529-4f83-8fa1-2f5af5c87d77</vt:lpwstr>
  </property>
</Properties>
</file>